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10206" w:type="dxa"/>
        <w:tblInd w:w="-5" w:type="dxa"/>
        <w:tblLook w:val="04A0" w:firstRow="1" w:lastRow="0" w:firstColumn="1" w:lastColumn="0" w:noHBand="0" w:noVBand="1"/>
      </w:tblPr>
      <w:tblGrid>
        <w:gridCol w:w="9242"/>
        <w:gridCol w:w="964"/>
      </w:tblGrid>
      <w:tr w:rsidR="00577639" w:rsidRPr="00FE01A2" w14:paraId="039C410A" w14:textId="77777777" w:rsidTr="004B64D3">
        <w:tc>
          <w:tcPr>
            <w:tcW w:w="10201" w:type="dxa"/>
            <w:gridSpan w:val="2"/>
          </w:tcPr>
          <w:p w14:paraId="7CDE9F90" w14:textId="77777777" w:rsidR="00577639" w:rsidRPr="00FE01A2" w:rsidRDefault="00577639" w:rsidP="00D57427">
            <w:pPr>
              <w:jc w:val="center"/>
              <w:rPr>
                <w:rFonts w:eastAsia="Times New Roman" w:cs="Arial"/>
                <w:b/>
                <w:color w:val="595959" w:themeColor="text1" w:themeTint="A6"/>
                <w:sz w:val="24"/>
                <w:szCs w:val="24"/>
              </w:rPr>
            </w:pPr>
            <w:r w:rsidRPr="00FE01A2">
              <w:rPr>
                <w:rFonts w:eastAsia="Times New Roman" w:cs="Arial"/>
                <w:b/>
                <w:sz w:val="24"/>
                <w:szCs w:val="24"/>
              </w:rPr>
              <w:fldChar w:fldCharType="begin"/>
            </w:r>
            <w:r w:rsidRPr="00FE01A2">
              <w:rPr>
                <w:rFonts w:eastAsia="Times New Roman" w:cs="Arial"/>
                <w:b/>
                <w:sz w:val="24"/>
                <w:szCs w:val="24"/>
              </w:rPr>
              <w:instrText xml:space="preserve"> HYPERLINK "http://labolycee.org" </w:instrText>
            </w:r>
            <w:r w:rsidRPr="00FE01A2">
              <w:rPr>
                <w:rFonts w:eastAsia="Times New Roman" w:cs="Arial"/>
                <w:b/>
                <w:sz w:val="24"/>
                <w:szCs w:val="24"/>
              </w:rPr>
              <w:fldChar w:fldCharType="separate"/>
            </w:r>
            <w:r w:rsidRPr="00FE01A2">
              <w:rPr>
                <w:rStyle w:val="Lienhypertexte"/>
                <w:rFonts w:eastAsia="Times New Roman" w:cs="Arial"/>
                <w:b/>
                <w:sz w:val="24"/>
                <w:szCs w:val="24"/>
              </w:rPr>
              <w:t>http://labolycee.org</w:t>
            </w:r>
            <w:r w:rsidRPr="00FE01A2">
              <w:rPr>
                <w:rFonts w:eastAsia="Times New Roman" w:cs="Arial"/>
                <w:b/>
                <w:sz w:val="24"/>
                <w:szCs w:val="24"/>
              </w:rPr>
              <w:fldChar w:fldCharType="end"/>
            </w:r>
            <w:r w:rsidRPr="00FE01A2">
              <w:rPr>
                <w:rFonts w:eastAsia="Times New Roman" w:cs="Arial"/>
                <w:b/>
                <w:sz w:val="24"/>
                <w:szCs w:val="24"/>
              </w:rPr>
              <w:t xml:space="preserve"> ÉPREUVES COMMUNES DE CONTRÔLE CONTINU</w:t>
            </w:r>
          </w:p>
        </w:tc>
      </w:tr>
      <w:tr w:rsidR="00577639" w:rsidRPr="00FE01A2" w14:paraId="4B7DCAF8" w14:textId="77777777" w:rsidTr="004B64D3">
        <w:tc>
          <w:tcPr>
            <w:tcW w:w="10201" w:type="dxa"/>
            <w:gridSpan w:val="2"/>
          </w:tcPr>
          <w:p w14:paraId="1C77DB80" w14:textId="77777777" w:rsidR="00577639" w:rsidRPr="00FE01A2" w:rsidRDefault="00577639" w:rsidP="00D57427">
            <w:pPr>
              <w:rPr>
                <w:rFonts w:eastAsia="Times New Roman" w:cs="Arial"/>
                <w:b/>
                <w:color w:val="000000" w:themeColor="text1"/>
                <w:sz w:val="24"/>
                <w:szCs w:val="24"/>
              </w:rPr>
            </w:pPr>
            <w:r w:rsidRPr="00FE01A2">
              <w:rPr>
                <w:rFonts w:eastAsia="Times New Roman" w:cs="Arial"/>
                <w:b/>
                <w:color w:val="000000" w:themeColor="text1"/>
                <w:sz w:val="24"/>
                <w:szCs w:val="24"/>
              </w:rPr>
              <w:t>CLASSE :</w:t>
            </w:r>
            <w:r w:rsidRPr="00FE01A2">
              <w:rPr>
                <w:rFonts w:eastAsia="Times New Roman" w:cs="Arial"/>
                <w:color w:val="000000" w:themeColor="text1"/>
                <w:sz w:val="24"/>
                <w:szCs w:val="24"/>
              </w:rPr>
              <w:t xml:space="preserve"> Première</w:t>
            </w:r>
            <w:r w:rsidRPr="00FE01A2">
              <w:rPr>
                <w:rFonts w:eastAsia="Times New Roman" w:cs="Arial"/>
                <w:color w:val="000000" w:themeColor="text1"/>
                <w:sz w:val="24"/>
                <w:szCs w:val="24"/>
              </w:rPr>
              <w:tab/>
            </w:r>
            <w:r w:rsidRPr="00FE01A2">
              <w:rPr>
                <w:rFonts w:eastAsia="Times New Roman" w:cs="Arial"/>
                <w:color w:val="000000" w:themeColor="text1"/>
                <w:sz w:val="24"/>
                <w:szCs w:val="24"/>
              </w:rPr>
              <w:tab/>
            </w:r>
            <w:r w:rsidRPr="00FE01A2">
              <w:rPr>
                <w:rFonts w:eastAsia="Times New Roman" w:cs="Arial"/>
                <w:color w:val="000000" w:themeColor="text1"/>
                <w:sz w:val="24"/>
                <w:szCs w:val="24"/>
              </w:rPr>
              <w:tab/>
            </w:r>
            <w:r w:rsidRPr="00FE01A2">
              <w:rPr>
                <w:rFonts w:eastAsia="Times New Roman" w:cs="Arial"/>
                <w:b/>
                <w:color w:val="000000" w:themeColor="text1"/>
                <w:sz w:val="24"/>
                <w:szCs w:val="24"/>
              </w:rPr>
              <w:t xml:space="preserve">E3C : </w:t>
            </w:r>
            <w:sdt>
              <w:sdtPr>
                <w:rPr>
                  <w:rFonts w:eastAsia="Times New Roman" w:cs="Arial"/>
                  <w:color w:val="000000" w:themeColor="text1"/>
                  <w:sz w:val="24"/>
                  <w:szCs w:val="24"/>
                </w:rPr>
                <w:id w:val="1990283991"/>
                <w14:checkbox>
                  <w14:checked w14:val="0"/>
                  <w14:checkedState w14:val="2612" w14:font="MS Gothic"/>
                  <w14:uncheckedState w14:val="2610" w14:font="MS Gothic"/>
                </w14:checkbox>
              </w:sdtPr>
              <w:sdtContent>
                <w:r w:rsidRPr="00FE01A2">
                  <w:rPr>
                    <w:rFonts w:ascii="Segoe UI Symbol" w:eastAsia="MS Gothic" w:hAnsi="Segoe UI Symbol" w:cs="Segoe UI Symbol"/>
                    <w:color w:val="000000" w:themeColor="text1"/>
                    <w:sz w:val="24"/>
                    <w:szCs w:val="24"/>
                  </w:rPr>
                  <w:t>☐</w:t>
                </w:r>
              </w:sdtContent>
            </w:sdt>
            <w:r w:rsidRPr="00FE01A2">
              <w:rPr>
                <w:rFonts w:eastAsia="Times New Roman" w:cs="Arial"/>
                <w:color w:val="000000" w:themeColor="text1"/>
                <w:sz w:val="24"/>
                <w:szCs w:val="24"/>
              </w:rPr>
              <w:t xml:space="preserve"> E3C1 </w:t>
            </w:r>
            <w:sdt>
              <w:sdtPr>
                <w:rPr>
                  <w:rFonts w:eastAsia="Times New Roman" w:cs="Arial"/>
                  <w:color w:val="000000" w:themeColor="text1"/>
                  <w:sz w:val="24"/>
                  <w:szCs w:val="24"/>
                </w:rPr>
                <w:id w:val="1774132376"/>
                <w14:checkbox>
                  <w14:checked w14:val="1"/>
                  <w14:checkedState w14:val="2612" w14:font="MS Gothic"/>
                  <w14:uncheckedState w14:val="2610" w14:font="MS Gothic"/>
                </w14:checkbox>
              </w:sdtPr>
              <w:sdtContent>
                <w:r w:rsidRPr="00FE01A2">
                  <w:rPr>
                    <w:rFonts w:ascii="Segoe UI Symbol" w:eastAsia="MS Gothic" w:hAnsi="Segoe UI Symbol" w:cs="Segoe UI Symbol"/>
                    <w:color w:val="000000" w:themeColor="text1"/>
                    <w:sz w:val="24"/>
                    <w:szCs w:val="24"/>
                  </w:rPr>
                  <w:t>☒</w:t>
                </w:r>
              </w:sdtContent>
            </w:sdt>
            <w:r w:rsidRPr="00FE01A2">
              <w:rPr>
                <w:rFonts w:eastAsia="Times New Roman" w:cs="Arial"/>
                <w:color w:val="000000" w:themeColor="text1"/>
                <w:sz w:val="24"/>
                <w:szCs w:val="24"/>
              </w:rPr>
              <w:t xml:space="preserve"> E3C2 </w:t>
            </w:r>
            <w:sdt>
              <w:sdtPr>
                <w:rPr>
                  <w:rFonts w:eastAsia="Times New Roman" w:cs="Arial"/>
                  <w:color w:val="000000" w:themeColor="text1"/>
                  <w:sz w:val="24"/>
                  <w:szCs w:val="24"/>
                </w:rPr>
                <w:id w:val="1252311351"/>
                <w14:checkbox>
                  <w14:checked w14:val="0"/>
                  <w14:checkedState w14:val="2612" w14:font="MS Gothic"/>
                  <w14:uncheckedState w14:val="2610" w14:font="MS Gothic"/>
                </w14:checkbox>
              </w:sdtPr>
              <w:sdtContent>
                <w:r w:rsidRPr="00FE01A2">
                  <w:rPr>
                    <w:rFonts w:ascii="Segoe UI Symbol" w:eastAsia="MS Gothic" w:hAnsi="Segoe UI Symbol" w:cs="Segoe UI Symbol"/>
                    <w:color w:val="000000" w:themeColor="text1"/>
                    <w:sz w:val="24"/>
                    <w:szCs w:val="24"/>
                  </w:rPr>
                  <w:t>☐</w:t>
                </w:r>
              </w:sdtContent>
            </w:sdt>
            <w:r w:rsidRPr="00FE01A2">
              <w:rPr>
                <w:rFonts w:eastAsia="Times New Roman" w:cs="Arial"/>
                <w:color w:val="000000" w:themeColor="text1"/>
                <w:sz w:val="24"/>
                <w:szCs w:val="24"/>
              </w:rPr>
              <w:t xml:space="preserve"> E3C3</w:t>
            </w:r>
          </w:p>
          <w:p w14:paraId="3D2C8030" w14:textId="77777777" w:rsidR="00577639" w:rsidRPr="00FE01A2" w:rsidRDefault="00577639" w:rsidP="00D57427">
            <w:pPr>
              <w:rPr>
                <w:rFonts w:eastAsia="Times New Roman" w:cs="Arial"/>
                <w:b/>
                <w:color w:val="000000" w:themeColor="text1"/>
                <w:sz w:val="24"/>
                <w:szCs w:val="24"/>
              </w:rPr>
            </w:pPr>
            <w:r w:rsidRPr="00FE01A2">
              <w:rPr>
                <w:rFonts w:eastAsia="Times New Roman" w:cs="Arial"/>
                <w:b/>
                <w:color w:val="000000" w:themeColor="text1"/>
                <w:sz w:val="24"/>
                <w:szCs w:val="24"/>
              </w:rPr>
              <w:t>VOIE :</w:t>
            </w:r>
            <w:r w:rsidRPr="00FE01A2">
              <w:rPr>
                <w:rFonts w:eastAsia="Times New Roman" w:cs="Arial"/>
                <w:color w:val="000000" w:themeColor="text1"/>
                <w:sz w:val="24"/>
                <w:szCs w:val="24"/>
              </w:rPr>
              <w:t xml:space="preserve"> </w:t>
            </w:r>
            <w:sdt>
              <w:sdtPr>
                <w:rPr>
                  <w:rFonts w:eastAsia="Times New Roman" w:cs="Arial"/>
                  <w:color w:val="000000" w:themeColor="text1"/>
                  <w:sz w:val="24"/>
                  <w:szCs w:val="24"/>
                </w:rPr>
                <w:id w:val="1896242340"/>
                <w14:checkbox>
                  <w14:checked w14:val="1"/>
                  <w14:checkedState w14:val="2612" w14:font="MS Gothic"/>
                  <w14:uncheckedState w14:val="2610" w14:font="MS Gothic"/>
                </w14:checkbox>
              </w:sdtPr>
              <w:sdtContent>
                <w:r w:rsidRPr="00FE01A2">
                  <w:rPr>
                    <w:rFonts w:ascii="Segoe UI Symbol" w:eastAsia="MS Gothic" w:hAnsi="Segoe UI Symbol" w:cs="Segoe UI Symbol"/>
                    <w:color w:val="000000" w:themeColor="text1"/>
                    <w:sz w:val="24"/>
                    <w:szCs w:val="24"/>
                  </w:rPr>
                  <w:t>☒</w:t>
                </w:r>
              </w:sdtContent>
            </w:sdt>
            <w:r w:rsidRPr="00FE01A2">
              <w:rPr>
                <w:rFonts w:eastAsia="Times New Roman" w:cs="Arial"/>
                <w:color w:val="000000" w:themeColor="text1"/>
                <w:sz w:val="24"/>
                <w:szCs w:val="24"/>
              </w:rPr>
              <w:t xml:space="preserve"> Générale </w:t>
            </w:r>
            <w:r w:rsidRPr="00FE01A2">
              <w:rPr>
                <w:rFonts w:eastAsia="Times New Roman" w:cs="Arial"/>
                <w:color w:val="000000" w:themeColor="text1"/>
                <w:sz w:val="24"/>
                <w:szCs w:val="24"/>
              </w:rPr>
              <w:tab/>
            </w:r>
            <w:r w:rsidRPr="00FE01A2">
              <w:rPr>
                <w:rFonts w:eastAsia="Times New Roman" w:cs="Arial"/>
                <w:color w:val="000000" w:themeColor="text1"/>
                <w:sz w:val="24"/>
                <w:szCs w:val="24"/>
              </w:rPr>
              <w:tab/>
            </w:r>
            <w:r w:rsidRPr="00FE01A2">
              <w:rPr>
                <w:rFonts w:eastAsia="Times New Roman" w:cs="Arial"/>
                <w:color w:val="000000" w:themeColor="text1"/>
                <w:sz w:val="24"/>
                <w:szCs w:val="24"/>
              </w:rPr>
              <w:tab/>
            </w:r>
            <w:r w:rsidRPr="00FE01A2">
              <w:rPr>
                <w:rFonts w:eastAsia="Times New Roman" w:cs="Arial"/>
                <w:b/>
                <w:color w:val="000000" w:themeColor="text1"/>
                <w:sz w:val="24"/>
                <w:szCs w:val="24"/>
              </w:rPr>
              <w:t>ENSEIGNEMENT : Enseignement scientifique</w:t>
            </w:r>
          </w:p>
          <w:p w14:paraId="6F3E7E3D" w14:textId="77777777" w:rsidR="00577639" w:rsidRPr="00FE01A2" w:rsidRDefault="00577639" w:rsidP="00D57427">
            <w:pPr>
              <w:rPr>
                <w:rFonts w:eastAsia="Times New Roman" w:cs="Arial"/>
                <w:color w:val="000000" w:themeColor="text1"/>
                <w:sz w:val="24"/>
                <w:szCs w:val="24"/>
              </w:rPr>
            </w:pPr>
            <w:r w:rsidRPr="00FE01A2">
              <w:rPr>
                <w:rFonts w:eastAsia="Times New Roman" w:cs="Arial"/>
                <w:b/>
                <w:color w:val="000000" w:themeColor="text1"/>
                <w:sz w:val="24"/>
                <w:szCs w:val="24"/>
              </w:rPr>
              <w:t>DURÉE DE L’ÉPREUVE :</w:t>
            </w:r>
            <w:r w:rsidRPr="00FE01A2">
              <w:rPr>
                <w:rFonts w:eastAsia="Times New Roman" w:cs="Arial"/>
                <w:color w:val="000000" w:themeColor="text1"/>
                <w:sz w:val="24"/>
                <w:szCs w:val="24"/>
              </w:rPr>
              <w:t xml:space="preserve"> 1h</w:t>
            </w:r>
          </w:p>
        </w:tc>
      </w:tr>
      <w:tr w:rsidR="00CA0DF4" w:rsidRPr="00FE01A2" w14:paraId="565C176B" w14:textId="77777777" w:rsidTr="004B64D3">
        <w:trPr>
          <w:gridAfter w:val="1"/>
          <w:wAfter w:w="964" w:type="dxa"/>
        </w:trPr>
        <w:tc>
          <w:tcPr>
            <w:tcW w:w="9242" w:type="dxa"/>
            <w:tcBorders>
              <w:top w:val="nil"/>
              <w:left w:val="nil"/>
              <w:bottom w:val="nil"/>
              <w:right w:val="nil"/>
            </w:tcBorders>
          </w:tcPr>
          <w:p w14:paraId="1755EC6F" w14:textId="77777777" w:rsidR="00CA0DF4" w:rsidRPr="00FE01A2" w:rsidRDefault="00CA0DF4" w:rsidP="00D57427">
            <w:pPr>
              <w:jc w:val="center"/>
              <w:rPr>
                <w:b/>
                <w:bCs/>
                <w:caps/>
                <w:sz w:val="24"/>
                <w:szCs w:val="24"/>
              </w:rPr>
            </w:pPr>
            <w:bookmarkStart w:id="0" w:name="_Hlk23347063"/>
            <w:r w:rsidRPr="00FE01A2">
              <w:rPr>
                <w:b/>
                <w:bCs/>
                <w:caps/>
                <w:sz w:val="24"/>
                <w:szCs w:val="24"/>
              </w:rPr>
              <w:t>Les peintures et les gravures de la grotte Chauvet</w:t>
            </w:r>
            <w:bookmarkEnd w:id="0"/>
          </w:p>
        </w:tc>
      </w:tr>
    </w:tbl>
    <w:p w14:paraId="25FB4D72" w14:textId="77777777" w:rsidR="00CA0DF4" w:rsidRPr="00FE01A2" w:rsidRDefault="00CA0DF4" w:rsidP="00CA0DF4">
      <w:pPr>
        <w:rPr>
          <w:szCs w:val="24"/>
        </w:rPr>
      </w:pPr>
    </w:p>
    <w:p w14:paraId="34D6E5A2" w14:textId="77777777" w:rsidR="00CA0DF4" w:rsidRPr="00FE01A2" w:rsidRDefault="00CA0DF4" w:rsidP="00CA0DF4">
      <w:pPr>
        <w:jc w:val="both"/>
        <w:rPr>
          <w:szCs w:val="24"/>
        </w:rPr>
      </w:pPr>
      <w:r w:rsidRPr="00FE01A2">
        <w:rPr>
          <w:szCs w:val="24"/>
        </w:rPr>
        <w:t>La grotte Chauvet, découverte en décembre 1994, s’ouvre au pied d’une falaise bordant les gorges de l’Ardèche. Elle contient de nombreuses peintures et gravures mais ne semble pas avoir servi d’habitat car les outils de silex et les restes de faune apportés par les humains sont rares.</w:t>
      </w:r>
    </w:p>
    <w:p w14:paraId="33343BD0" w14:textId="77777777" w:rsidR="00CA0DF4" w:rsidRPr="00FE01A2" w:rsidRDefault="00CA0DF4" w:rsidP="00CA0DF4">
      <w:pPr>
        <w:rPr>
          <w:szCs w:val="24"/>
        </w:rPr>
      </w:pPr>
    </w:p>
    <w:tbl>
      <w:tblPr>
        <w:tblStyle w:val="Grilledutableau"/>
        <w:tblW w:w="0" w:type="auto"/>
        <w:tblLook w:val="04A0" w:firstRow="1" w:lastRow="0" w:firstColumn="1" w:lastColumn="0" w:noHBand="0" w:noVBand="1"/>
      </w:tblPr>
      <w:tblGrid>
        <w:gridCol w:w="10201"/>
      </w:tblGrid>
      <w:tr w:rsidR="00CA0DF4" w:rsidRPr="00FE01A2" w14:paraId="07584DBD" w14:textId="77777777" w:rsidTr="00CA0DF4">
        <w:tc>
          <w:tcPr>
            <w:tcW w:w="10201" w:type="dxa"/>
          </w:tcPr>
          <w:p w14:paraId="75E76ABC" w14:textId="77777777" w:rsidR="00CA0DF4" w:rsidRPr="00FE01A2" w:rsidRDefault="00CA0DF4" w:rsidP="00D57427">
            <w:pPr>
              <w:rPr>
                <w:sz w:val="24"/>
                <w:szCs w:val="24"/>
                <w:u w:val="single"/>
              </w:rPr>
            </w:pPr>
            <w:r w:rsidRPr="00FE01A2">
              <w:rPr>
                <w:sz w:val="24"/>
                <w:szCs w:val="24"/>
                <w:u w:val="single"/>
              </w:rPr>
              <w:t xml:space="preserve">Document 1. Photographies de deux œuvres de la grotte Chauvet (source </w:t>
            </w:r>
            <w:proofErr w:type="spellStart"/>
            <w:r w:rsidRPr="00FE01A2">
              <w:rPr>
                <w:sz w:val="24"/>
                <w:szCs w:val="24"/>
                <w:u w:val="single"/>
              </w:rPr>
              <w:t>Wikipedia</w:t>
            </w:r>
            <w:proofErr w:type="spellEnd"/>
            <w:r w:rsidRPr="00FE01A2">
              <w:rPr>
                <w:sz w:val="24"/>
                <w:szCs w:val="24"/>
                <w:u w:val="single"/>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3"/>
              <w:gridCol w:w="4962"/>
            </w:tblGrid>
            <w:tr w:rsidR="00CA0DF4" w:rsidRPr="00FE01A2" w14:paraId="12166F54" w14:textId="77777777" w:rsidTr="00FE01A2">
              <w:tc>
                <w:tcPr>
                  <w:tcW w:w="4983" w:type="dxa"/>
                </w:tcPr>
                <w:p w14:paraId="49F695C6" w14:textId="77777777" w:rsidR="00CA0DF4" w:rsidRPr="00FE01A2" w:rsidRDefault="00CA0DF4" w:rsidP="00D57427">
                  <w:pPr>
                    <w:rPr>
                      <w:sz w:val="24"/>
                      <w:szCs w:val="24"/>
                    </w:rPr>
                  </w:pPr>
                  <w:r w:rsidRPr="00FE01A2">
                    <w:rPr>
                      <w:sz w:val="24"/>
                      <w:szCs w:val="24"/>
                    </w:rPr>
                    <w:t>1-a- Peintures de chevaux, aurochs et rhinocéros</w:t>
                  </w:r>
                </w:p>
              </w:tc>
              <w:tc>
                <w:tcPr>
                  <w:tcW w:w="4962" w:type="dxa"/>
                </w:tcPr>
                <w:p w14:paraId="13DCA0ED" w14:textId="77777777" w:rsidR="00CA0DF4" w:rsidRPr="00FE01A2" w:rsidRDefault="00CA0DF4" w:rsidP="00D57427">
                  <w:pPr>
                    <w:rPr>
                      <w:sz w:val="24"/>
                      <w:szCs w:val="24"/>
                    </w:rPr>
                  </w:pPr>
                  <w:r w:rsidRPr="00FE01A2">
                    <w:rPr>
                      <w:sz w:val="24"/>
                      <w:szCs w:val="24"/>
                    </w:rPr>
                    <w:t>1-b- Gravure du hibou moyen-duc</w:t>
                  </w:r>
                </w:p>
              </w:tc>
            </w:tr>
            <w:tr w:rsidR="00CA0DF4" w:rsidRPr="00FE01A2" w14:paraId="4CB019C0" w14:textId="77777777" w:rsidTr="00FE01A2">
              <w:tc>
                <w:tcPr>
                  <w:tcW w:w="4983" w:type="dxa"/>
                </w:tcPr>
                <w:p w14:paraId="01B9AB15" w14:textId="77777777" w:rsidR="00CA0DF4" w:rsidRPr="00FE01A2" w:rsidRDefault="00CA0DF4" w:rsidP="00D57427">
                  <w:pPr>
                    <w:rPr>
                      <w:sz w:val="24"/>
                      <w:szCs w:val="24"/>
                    </w:rPr>
                  </w:pPr>
                  <w:r w:rsidRPr="00FE01A2">
                    <w:rPr>
                      <w:noProof/>
                      <w:sz w:val="24"/>
                      <w:szCs w:val="24"/>
                    </w:rPr>
                    <w:drawing>
                      <wp:inline distT="0" distB="0" distL="0" distR="0" wp14:anchorId="4A7790FC" wp14:editId="6801EF2F">
                        <wp:extent cx="2723220" cy="2704694"/>
                        <wp:effectExtent l="0" t="0" r="1270" b="635"/>
                        <wp:docPr id="3"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pic:cNvPicPr>
                              </pic:nvPicPr>
                              <pic:blipFill>
                                <a:blip r:embed="rId4">
                                  <a:extLst>
                                    <a:ext uri="{BEBA8EAE-BF5A-486C-A8C5-ECC9F3942E4B}">
                                      <a14:imgProps xmlns:a14="http://schemas.microsoft.com/office/drawing/2010/main">
                                        <a14:imgLayer r:embed="rId5">
                                          <a14:imgEffect>
                                            <a14:saturation sat="0"/>
                                          </a14:imgEffect>
                                        </a14:imgLayer>
                                      </a14:imgProps>
                                    </a:ext>
                                  </a:extLst>
                                </a:blip>
                                <a:stretch/>
                              </pic:blipFill>
                              <pic:spPr bwMode="auto">
                                <a:xfrm>
                                  <a:off x="0" y="0"/>
                                  <a:ext cx="2723219" cy="2704694"/>
                                </a:xfrm>
                                <a:prstGeom prst="rect">
                                  <a:avLst/>
                                </a:prstGeom>
                              </pic:spPr>
                            </pic:pic>
                          </a:graphicData>
                        </a:graphic>
                      </wp:inline>
                    </w:drawing>
                  </w:r>
                </w:p>
              </w:tc>
              <w:tc>
                <w:tcPr>
                  <w:tcW w:w="4962" w:type="dxa"/>
                </w:tcPr>
                <w:p w14:paraId="4AE4F5A2" w14:textId="77777777" w:rsidR="00CA0DF4" w:rsidRPr="00FE01A2" w:rsidRDefault="00CA0DF4" w:rsidP="00D57427">
                  <w:pPr>
                    <w:rPr>
                      <w:sz w:val="24"/>
                      <w:szCs w:val="24"/>
                    </w:rPr>
                  </w:pPr>
                  <w:r w:rsidRPr="00FE01A2">
                    <w:rPr>
                      <w:noProof/>
                      <w:sz w:val="24"/>
                      <w:szCs w:val="24"/>
                    </w:rPr>
                    <w:drawing>
                      <wp:inline distT="0" distB="0" distL="0" distR="0" wp14:anchorId="2D41BD89" wp14:editId="4E10F3FB">
                        <wp:extent cx="2694862" cy="2704155"/>
                        <wp:effectExtent l="0" t="0" r="0" b="127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a:picLocks noChangeAspect="1"/>
                                </pic:cNvPicPr>
                              </pic:nvPicPr>
                              <pic:blipFill>
                                <a:blip r:embed="rId6">
                                  <a:extLst>
                                    <a:ext uri="{BEBA8EAE-BF5A-486C-A8C5-ECC9F3942E4B}">
                                      <a14:imgProps xmlns:a14="http://schemas.microsoft.com/office/drawing/2010/main">
                                        <a14:imgLayer r:embed="rId7">
                                          <a14:imgEffect>
                                            <a14:saturation sat="0"/>
                                          </a14:imgEffect>
                                        </a14:imgLayer>
                                      </a14:imgProps>
                                    </a:ext>
                                  </a:extLst>
                                </a:blip>
                                <a:stretch/>
                              </pic:blipFill>
                              <pic:spPr bwMode="auto">
                                <a:xfrm>
                                  <a:off x="0" y="0"/>
                                  <a:ext cx="2694862" cy="2704155"/>
                                </a:xfrm>
                                <a:prstGeom prst="rect">
                                  <a:avLst/>
                                </a:prstGeom>
                              </pic:spPr>
                            </pic:pic>
                          </a:graphicData>
                        </a:graphic>
                      </wp:inline>
                    </w:drawing>
                  </w:r>
                </w:p>
              </w:tc>
            </w:tr>
          </w:tbl>
          <w:p w14:paraId="1AD8B9B0" w14:textId="77777777" w:rsidR="00CA0DF4" w:rsidRPr="00FE01A2" w:rsidRDefault="00CA0DF4" w:rsidP="00D57427">
            <w:pPr>
              <w:rPr>
                <w:sz w:val="24"/>
                <w:szCs w:val="24"/>
              </w:rPr>
            </w:pPr>
          </w:p>
        </w:tc>
      </w:tr>
    </w:tbl>
    <w:p w14:paraId="61AAF2FF" w14:textId="77777777" w:rsidR="00CA0DF4" w:rsidRPr="00FE01A2" w:rsidRDefault="00CA0DF4" w:rsidP="00FE01A2">
      <w:pPr>
        <w:jc w:val="both"/>
        <w:rPr>
          <w:szCs w:val="24"/>
        </w:rPr>
      </w:pPr>
      <w:r w:rsidRPr="00FE01A2">
        <w:rPr>
          <w:szCs w:val="24"/>
        </w:rPr>
        <w:t>On cherche à associer la peinture de chevaux, aurochs et rhinocéros (document 1a) à l’une des phases d’occupation de la grotte. Pour cela, on utilise une méthode de datation basée sur la désintégration des noyaux radioactifs.</w:t>
      </w:r>
    </w:p>
    <w:p w14:paraId="76390856" w14:textId="77777777" w:rsidR="00CA0DF4" w:rsidRPr="00FE01A2" w:rsidRDefault="00CA0DF4" w:rsidP="00CA0DF4">
      <w:pPr>
        <w:rPr>
          <w:szCs w:val="24"/>
        </w:rPr>
      </w:pPr>
    </w:p>
    <w:p w14:paraId="0501B412" w14:textId="4D668AEA" w:rsidR="00CA0DF4" w:rsidRPr="00FE01A2" w:rsidRDefault="00CA0DF4" w:rsidP="00FE01A2">
      <w:pPr>
        <w:jc w:val="both"/>
        <w:rPr>
          <w:szCs w:val="24"/>
        </w:rPr>
      </w:pPr>
      <w:r w:rsidRPr="00FE01A2">
        <w:rPr>
          <w:b/>
          <w:szCs w:val="24"/>
        </w:rPr>
        <w:t>1-</w:t>
      </w:r>
      <w:r w:rsidRPr="00FE01A2">
        <w:rPr>
          <w:szCs w:val="24"/>
        </w:rPr>
        <w:t xml:space="preserve"> L’évolution du nombre de noyaux radioactifs d’une composition donnée au cours du temps suit une loi de décroissance représentée dans le document réponse à rendre avec la copie.</w:t>
      </w:r>
    </w:p>
    <w:p w14:paraId="2D65CE83" w14:textId="643C8359" w:rsidR="00CA0DF4" w:rsidRPr="00FE01A2" w:rsidRDefault="00CA0DF4" w:rsidP="00FE01A2">
      <w:pPr>
        <w:jc w:val="both"/>
        <w:rPr>
          <w:szCs w:val="24"/>
        </w:rPr>
      </w:pPr>
      <w:r w:rsidRPr="00FE01A2">
        <w:rPr>
          <w:szCs w:val="24"/>
        </w:rPr>
        <w:t>Rappeler la définition de la demi-vie t</w:t>
      </w:r>
      <w:r w:rsidRPr="00FE01A2">
        <w:rPr>
          <w:szCs w:val="24"/>
          <w:vertAlign w:val="subscript"/>
        </w:rPr>
        <w:t>1/2</w:t>
      </w:r>
      <w:r w:rsidRPr="00FE01A2">
        <w:rPr>
          <w:szCs w:val="24"/>
        </w:rPr>
        <w:t xml:space="preserve"> associée à cette désintégration radioactive.</w:t>
      </w:r>
    </w:p>
    <w:p w14:paraId="35B0455E" w14:textId="77777777" w:rsidR="00CA0DF4" w:rsidRPr="00FE01A2" w:rsidRDefault="00CA0DF4" w:rsidP="00FE01A2">
      <w:pPr>
        <w:jc w:val="both"/>
        <w:rPr>
          <w:szCs w:val="24"/>
        </w:rPr>
      </w:pPr>
      <w:r w:rsidRPr="00FE01A2">
        <w:rPr>
          <w:szCs w:val="24"/>
        </w:rPr>
        <w:t>Sur le document réponse, faire apparaître la construction graphique permettant de repérer la valeur de la demi-vie du noyau.</w:t>
      </w:r>
    </w:p>
    <w:p w14:paraId="4661EF74" w14:textId="77777777" w:rsidR="00CA0DF4" w:rsidRPr="00FE01A2" w:rsidRDefault="00CA0DF4" w:rsidP="00CA0DF4">
      <w:pPr>
        <w:rPr>
          <w:szCs w:val="24"/>
        </w:rPr>
      </w:pPr>
    </w:p>
    <w:p w14:paraId="362C19D8" w14:textId="77777777" w:rsidR="00CA0DF4" w:rsidRPr="00FE01A2" w:rsidRDefault="00CA0DF4" w:rsidP="00FE01A2">
      <w:pPr>
        <w:jc w:val="both"/>
        <w:rPr>
          <w:szCs w:val="24"/>
        </w:rPr>
      </w:pPr>
      <w:r w:rsidRPr="00FE01A2">
        <w:rPr>
          <w:b/>
          <w:szCs w:val="24"/>
        </w:rPr>
        <w:t>2-</w:t>
      </w:r>
      <w:r w:rsidRPr="00FE01A2">
        <w:rPr>
          <w:szCs w:val="24"/>
        </w:rPr>
        <w:t xml:space="preserve"> La grotte a connu deux phases d'occupation, l'une à l'Aurignacien (entre 37000 et 33500 années avant aujourd’hui), l'autre au Gravettien (31000 à 28000 années avant aujourd’hui).</w:t>
      </w:r>
    </w:p>
    <w:p w14:paraId="54E8521A" w14:textId="77777777" w:rsidR="00CA0DF4" w:rsidRPr="00FE01A2" w:rsidRDefault="00CA0DF4" w:rsidP="00FE01A2">
      <w:pPr>
        <w:jc w:val="both"/>
        <w:rPr>
          <w:szCs w:val="24"/>
        </w:rPr>
      </w:pPr>
      <w:r w:rsidRPr="00FE01A2">
        <w:rPr>
          <w:szCs w:val="24"/>
        </w:rPr>
        <w:t>Il existe de nombreux noyaux radioactifs mais leur demi-vie est différente (quelques exemples sont donnés dans le document 2).</w:t>
      </w:r>
    </w:p>
    <w:p w14:paraId="6FA29917" w14:textId="77777777" w:rsidR="00CA0DF4" w:rsidRPr="00FE01A2" w:rsidRDefault="00CA0DF4" w:rsidP="00CA0DF4">
      <w:pPr>
        <w:rPr>
          <w:szCs w:val="24"/>
        </w:rPr>
      </w:pPr>
    </w:p>
    <w:tbl>
      <w:tblPr>
        <w:tblStyle w:val="Grilledutableau"/>
        <w:tblW w:w="0" w:type="auto"/>
        <w:tblLook w:val="04A0" w:firstRow="1" w:lastRow="0" w:firstColumn="1" w:lastColumn="0" w:noHBand="0" w:noVBand="1"/>
      </w:tblPr>
      <w:tblGrid>
        <w:gridCol w:w="10201"/>
      </w:tblGrid>
      <w:tr w:rsidR="00CA0DF4" w:rsidRPr="00FE01A2" w14:paraId="172654B4" w14:textId="77777777" w:rsidTr="00FE01A2">
        <w:tc>
          <w:tcPr>
            <w:tcW w:w="10201" w:type="dxa"/>
          </w:tcPr>
          <w:p w14:paraId="4BD80BE7" w14:textId="2D4C5AB4" w:rsidR="00CA0DF4" w:rsidRDefault="00CA0DF4" w:rsidP="00D57427">
            <w:pPr>
              <w:rPr>
                <w:bCs/>
                <w:sz w:val="24"/>
                <w:szCs w:val="24"/>
                <w:u w:val="single"/>
              </w:rPr>
            </w:pPr>
            <w:r w:rsidRPr="00FE01A2">
              <w:rPr>
                <w:bCs/>
                <w:sz w:val="24"/>
                <w:szCs w:val="24"/>
                <w:u w:val="single"/>
              </w:rPr>
              <w:t>Document 2 : différents noyaux radioactifs et leur demi-vie</w:t>
            </w:r>
          </w:p>
          <w:p w14:paraId="65406EE6" w14:textId="77777777" w:rsidR="00FE01A2" w:rsidRPr="00FE01A2" w:rsidRDefault="00FE01A2" w:rsidP="00D57427">
            <w:pPr>
              <w:rPr>
                <w:bCs/>
                <w:sz w:val="24"/>
                <w:szCs w:val="24"/>
                <w:u w:val="single"/>
              </w:rPr>
            </w:pPr>
          </w:p>
          <w:tbl>
            <w:tblPr>
              <w:tblStyle w:val="Grilledutableau"/>
              <w:tblW w:w="0" w:type="auto"/>
              <w:jc w:val="center"/>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3539"/>
              <w:gridCol w:w="2977"/>
            </w:tblGrid>
            <w:tr w:rsidR="00CA0DF4" w:rsidRPr="00FE01A2" w14:paraId="33BAAF0C" w14:textId="77777777" w:rsidTr="00D57427">
              <w:trPr>
                <w:trHeight w:val="215"/>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A4D8332" w14:textId="77777777" w:rsidR="00CA0DF4" w:rsidRPr="00FE01A2" w:rsidRDefault="00CA0DF4" w:rsidP="00D57427">
                  <w:pPr>
                    <w:rPr>
                      <w:bCs/>
                      <w:sz w:val="24"/>
                      <w:szCs w:val="24"/>
                    </w:rPr>
                  </w:pPr>
                  <w:r w:rsidRPr="00FE01A2">
                    <w:rPr>
                      <w:bCs/>
                      <w:sz w:val="24"/>
                      <w:szCs w:val="24"/>
                    </w:rPr>
                    <w:t>Noyaux radioactifs</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AAEECAE" w14:textId="77777777" w:rsidR="00CA0DF4" w:rsidRPr="00FE01A2" w:rsidRDefault="00CA0DF4" w:rsidP="00D57427">
                  <w:pPr>
                    <w:rPr>
                      <w:bCs/>
                      <w:sz w:val="24"/>
                      <w:szCs w:val="24"/>
                    </w:rPr>
                  </w:pPr>
                  <w:r w:rsidRPr="00FE01A2">
                    <w:rPr>
                      <w:bCs/>
                      <w:sz w:val="24"/>
                      <w:szCs w:val="24"/>
                    </w:rPr>
                    <w:t>Demi-vie (années)</w:t>
                  </w:r>
                </w:p>
              </w:tc>
            </w:tr>
            <w:tr w:rsidR="00CA0DF4" w:rsidRPr="00FE01A2" w14:paraId="2674C114" w14:textId="77777777" w:rsidTr="00D57427">
              <w:trPr>
                <w:jc w:val="center"/>
              </w:trPr>
              <w:tc>
                <w:tcPr>
                  <w:tcW w:w="3539" w:type="dxa"/>
                  <w:tcBorders>
                    <w:top w:val="single" w:sz="4" w:space="0" w:color="000000"/>
                    <w:left w:val="single" w:sz="4" w:space="0" w:color="000000"/>
                    <w:bottom w:val="single" w:sz="4" w:space="0" w:color="000000"/>
                    <w:right w:val="single" w:sz="4" w:space="0" w:color="000000"/>
                  </w:tcBorders>
                </w:tcPr>
                <w:p w14:paraId="1BDA1F0D" w14:textId="77777777" w:rsidR="00CA0DF4" w:rsidRPr="00FE01A2" w:rsidRDefault="00CA0DF4" w:rsidP="00D57427">
                  <w:pPr>
                    <w:rPr>
                      <w:sz w:val="24"/>
                      <w:szCs w:val="24"/>
                    </w:rPr>
                  </w:pPr>
                  <w:r w:rsidRPr="00FE01A2">
                    <w:rPr>
                      <w:sz w:val="24"/>
                      <w:szCs w:val="24"/>
                    </w:rPr>
                    <w:t>Uranium 238</w:t>
                  </w:r>
                </w:p>
              </w:tc>
              <w:tc>
                <w:tcPr>
                  <w:tcW w:w="2977" w:type="dxa"/>
                  <w:tcBorders>
                    <w:top w:val="single" w:sz="4" w:space="0" w:color="000000"/>
                    <w:left w:val="single" w:sz="4" w:space="0" w:color="000000"/>
                    <w:bottom w:val="single" w:sz="4" w:space="0" w:color="000000"/>
                    <w:right w:val="single" w:sz="4" w:space="0" w:color="000000"/>
                  </w:tcBorders>
                </w:tcPr>
                <w:p w14:paraId="19E5F856" w14:textId="77777777" w:rsidR="00CA0DF4" w:rsidRPr="00FE01A2" w:rsidRDefault="00CA0DF4" w:rsidP="00D57427">
                  <w:pPr>
                    <w:rPr>
                      <w:sz w:val="24"/>
                      <w:szCs w:val="24"/>
                    </w:rPr>
                  </w:pPr>
                  <w:r w:rsidRPr="00FE01A2">
                    <w:rPr>
                      <w:sz w:val="24"/>
                      <w:szCs w:val="24"/>
                    </w:rPr>
                    <w:t>4,4688×10</w:t>
                  </w:r>
                  <w:r w:rsidRPr="00FE01A2">
                    <w:rPr>
                      <w:sz w:val="24"/>
                      <w:szCs w:val="24"/>
                      <w:vertAlign w:val="superscript"/>
                    </w:rPr>
                    <w:t>9</w:t>
                  </w:r>
                </w:p>
              </w:tc>
            </w:tr>
            <w:tr w:rsidR="00CA0DF4" w:rsidRPr="00FE01A2" w14:paraId="08A526E0" w14:textId="77777777" w:rsidTr="00D57427">
              <w:trPr>
                <w:jc w:val="center"/>
              </w:trPr>
              <w:tc>
                <w:tcPr>
                  <w:tcW w:w="3539" w:type="dxa"/>
                  <w:tcBorders>
                    <w:top w:val="single" w:sz="4" w:space="0" w:color="000000"/>
                    <w:left w:val="single" w:sz="4" w:space="0" w:color="000000"/>
                    <w:bottom w:val="single" w:sz="4" w:space="0" w:color="000000"/>
                    <w:right w:val="single" w:sz="4" w:space="0" w:color="000000"/>
                  </w:tcBorders>
                </w:tcPr>
                <w:p w14:paraId="681FDAD4" w14:textId="77777777" w:rsidR="00CA0DF4" w:rsidRPr="00FE01A2" w:rsidRDefault="00CA0DF4" w:rsidP="00D57427">
                  <w:pPr>
                    <w:rPr>
                      <w:sz w:val="24"/>
                      <w:szCs w:val="24"/>
                    </w:rPr>
                  </w:pPr>
                  <w:r w:rsidRPr="00FE01A2">
                    <w:rPr>
                      <w:sz w:val="24"/>
                      <w:szCs w:val="24"/>
                    </w:rPr>
                    <w:t>Uranium 235</w:t>
                  </w:r>
                </w:p>
              </w:tc>
              <w:tc>
                <w:tcPr>
                  <w:tcW w:w="2977" w:type="dxa"/>
                  <w:tcBorders>
                    <w:top w:val="single" w:sz="4" w:space="0" w:color="000000"/>
                    <w:left w:val="single" w:sz="4" w:space="0" w:color="000000"/>
                    <w:bottom w:val="single" w:sz="4" w:space="0" w:color="000000"/>
                    <w:right w:val="single" w:sz="4" w:space="0" w:color="000000"/>
                  </w:tcBorders>
                </w:tcPr>
                <w:p w14:paraId="291AEA8F" w14:textId="77777777" w:rsidR="00CA0DF4" w:rsidRPr="00FE01A2" w:rsidRDefault="00CA0DF4" w:rsidP="00D57427">
                  <w:pPr>
                    <w:rPr>
                      <w:sz w:val="24"/>
                      <w:szCs w:val="24"/>
                    </w:rPr>
                  </w:pPr>
                  <w:r w:rsidRPr="00FE01A2">
                    <w:rPr>
                      <w:sz w:val="24"/>
                      <w:szCs w:val="24"/>
                    </w:rPr>
                    <w:t>7,03×10</w:t>
                  </w:r>
                  <w:r w:rsidRPr="00FE01A2">
                    <w:rPr>
                      <w:sz w:val="24"/>
                      <w:szCs w:val="24"/>
                      <w:vertAlign w:val="superscript"/>
                    </w:rPr>
                    <w:t>8</w:t>
                  </w:r>
                </w:p>
              </w:tc>
            </w:tr>
            <w:tr w:rsidR="00CA0DF4" w:rsidRPr="00FE01A2" w14:paraId="6BA17E0E" w14:textId="77777777" w:rsidTr="00D57427">
              <w:trPr>
                <w:jc w:val="center"/>
              </w:trPr>
              <w:tc>
                <w:tcPr>
                  <w:tcW w:w="3539" w:type="dxa"/>
                  <w:tcBorders>
                    <w:top w:val="single" w:sz="4" w:space="0" w:color="000000"/>
                    <w:left w:val="single" w:sz="4" w:space="0" w:color="000000"/>
                    <w:bottom w:val="single" w:sz="4" w:space="0" w:color="000000"/>
                    <w:right w:val="single" w:sz="4" w:space="0" w:color="000000"/>
                  </w:tcBorders>
                </w:tcPr>
                <w:p w14:paraId="42D11852" w14:textId="77777777" w:rsidR="00CA0DF4" w:rsidRPr="00FE01A2" w:rsidRDefault="00CA0DF4" w:rsidP="00D57427">
                  <w:pPr>
                    <w:rPr>
                      <w:sz w:val="24"/>
                      <w:szCs w:val="24"/>
                    </w:rPr>
                  </w:pPr>
                  <w:r w:rsidRPr="00FE01A2">
                    <w:rPr>
                      <w:sz w:val="24"/>
                      <w:szCs w:val="24"/>
                    </w:rPr>
                    <w:t>Potassium 40</w:t>
                  </w:r>
                </w:p>
              </w:tc>
              <w:tc>
                <w:tcPr>
                  <w:tcW w:w="2977" w:type="dxa"/>
                  <w:tcBorders>
                    <w:top w:val="single" w:sz="4" w:space="0" w:color="000000"/>
                    <w:left w:val="single" w:sz="4" w:space="0" w:color="000000"/>
                    <w:bottom w:val="single" w:sz="4" w:space="0" w:color="000000"/>
                    <w:right w:val="single" w:sz="4" w:space="0" w:color="000000"/>
                  </w:tcBorders>
                </w:tcPr>
                <w:p w14:paraId="6A9EDD6D" w14:textId="77777777" w:rsidR="00CA0DF4" w:rsidRPr="00FE01A2" w:rsidRDefault="00CA0DF4" w:rsidP="00D57427">
                  <w:pPr>
                    <w:rPr>
                      <w:sz w:val="24"/>
                      <w:szCs w:val="24"/>
                    </w:rPr>
                  </w:pPr>
                  <w:r w:rsidRPr="00FE01A2">
                    <w:rPr>
                      <w:sz w:val="24"/>
                      <w:szCs w:val="24"/>
                    </w:rPr>
                    <w:t>1,248×10</w:t>
                  </w:r>
                  <w:r w:rsidRPr="00FE01A2">
                    <w:rPr>
                      <w:sz w:val="24"/>
                      <w:szCs w:val="24"/>
                      <w:vertAlign w:val="superscript"/>
                    </w:rPr>
                    <w:t>9</w:t>
                  </w:r>
                </w:p>
              </w:tc>
            </w:tr>
            <w:tr w:rsidR="00CA0DF4" w:rsidRPr="00FE01A2" w14:paraId="121A74DE" w14:textId="77777777" w:rsidTr="00D57427">
              <w:trPr>
                <w:jc w:val="center"/>
              </w:trPr>
              <w:tc>
                <w:tcPr>
                  <w:tcW w:w="3539" w:type="dxa"/>
                  <w:tcBorders>
                    <w:top w:val="single" w:sz="4" w:space="0" w:color="000000"/>
                    <w:left w:val="single" w:sz="4" w:space="0" w:color="000000"/>
                    <w:bottom w:val="single" w:sz="4" w:space="0" w:color="auto"/>
                    <w:right w:val="single" w:sz="4" w:space="0" w:color="000000"/>
                  </w:tcBorders>
                </w:tcPr>
                <w:p w14:paraId="2D6DC8A9" w14:textId="77777777" w:rsidR="00CA0DF4" w:rsidRPr="00FE01A2" w:rsidRDefault="00CA0DF4" w:rsidP="00D57427">
                  <w:pPr>
                    <w:rPr>
                      <w:sz w:val="24"/>
                      <w:szCs w:val="24"/>
                    </w:rPr>
                  </w:pPr>
                  <w:r w:rsidRPr="00FE01A2">
                    <w:rPr>
                      <w:sz w:val="24"/>
                      <w:szCs w:val="24"/>
                    </w:rPr>
                    <w:t>Carbone 14</w:t>
                  </w:r>
                </w:p>
              </w:tc>
              <w:tc>
                <w:tcPr>
                  <w:tcW w:w="2977" w:type="dxa"/>
                  <w:tcBorders>
                    <w:top w:val="single" w:sz="4" w:space="0" w:color="000000"/>
                    <w:left w:val="single" w:sz="4" w:space="0" w:color="000000"/>
                    <w:bottom w:val="single" w:sz="4" w:space="0" w:color="auto"/>
                    <w:right w:val="single" w:sz="4" w:space="0" w:color="000000"/>
                  </w:tcBorders>
                </w:tcPr>
                <w:p w14:paraId="67B7D2AF" w14:textId="77777777" w:rsidR="00CA0DF4" w:rsidRPr="00FE01A2" w:rsidRDefault="00CA0DF4" w:rsidP="00D57427">
                  <w:pPr>
                    <w:rPr>
                      <w:sz w:val="24"/>
                      <w:szCs w:val="24"/>
                    </w:rPr>
                  </w:pPr>
                  <w:r w:rsidRPr="00FE01A2">
                    <w:rPr>
                      <w:sz w:val="24"/>
                      <w:szCs w:val="24"/>
                    </w:rPr>
                    <w:t>5,568×10</w:t>
                  </w:r>
                  <w:r w:rsidRPr="00FE01A2">
                    <w:rPr>
                      <w:sz w:val="24"/>
                      <w:szCs w:val="24"/>
                      <w:vertAlign w:val="superscript"/>
                    </w:rPr>
                    <w:t>3</w:t>
                  </w:r>
                </w:p>
              </w:tc>
            </w:tr>
            <w:tr w:rsidR="00CA0DF4" w:rsidRPr="00FE01A2" w14:paraId="4857EE23" w14:textId="77777777" w:rsidTr="00D57427">
              <w:trPr>
                <w:trHeight w:val="276"/>
                <w:jc w:val="center"/>
              </w:trPr>
              <w:tc>
                <w:tcPr>
                  <w:tcW w:w="3539" w:type="dxa"/>
                  <w:tcBorders>
                    <w:top w:val="single" w:sz="4" w:space="0" w:color="auto"/>
                    <w:left w:val="single" w:sz="4" w:space="0" w:color="auto"/>
                    <w:bottom w:val="single" w:sz="4" w:space="0" w:color="auto"/>
                    <w:right w:val="single" w:sz="4" w:space="0" w:color="auto"/>
                  </w:tcBorders>
                </w:tcPr>
                <w:p w14:paraId="1C0234B4" w14:textId="77777777" w:rsidR="00CA0DF4" w:rsidRPr="00FE01A2" w:rsidRDefault="00CA0DF4" w:rsidP="00D57427">
                  <w:pPr>
                    <w:rPr>
                      <w:sz w:val="24"/>
                      <w:szCs w:val="24"/>
                    </w:rPr>
                  </w:pPr>
                  <w:r w:rsidRPr="00FE01A2">
                    <w:rPr>
                      <w:sz w:val="24"/>
                      <w:szCs w:val="24"/>
                    </w:rPr>
                    <w:t>Iode 131</w:t>
                  </w:r>
                </w:p>
              </w:tc>
              <w:tc>
                <w:tcPr>
                  <w:tcW w:w="2977" w:type="dxa"/>
                  <w:tcBorders>
                    <w:top w:val="single" w:sz="4" w:space="0" w:color="auto"/>
                    <w:left w:val="single" w:sz="4" w:space="0" w:color="auto"/>
                    <w:bottom w:val="single" w:sz="4" w:space="0" w:color="auto"/>
                    <w:right w:val="single" w:sz="4" w:space="0" w:color="auto"/>
                  </w:tcBorders>
                </w:tcPr>
                <w:p w14:paraId="1BAC9EE1" w14:textId="77777777" w:rsidR="00CA0DF4" w:rsidRPr="00FE01A2" w:rsidRDefault="00CA0DF4" w:rsidP="00D57427">
                  <w:pPr>
                    <w:rPr>
                      <w:sz w:val="24"/>
                      <w:szCs w:val="24"/>
                    </w:rPr>
                  </w:pPr>
                  <w:r w:rsidRPr="00FE01A2">
                    <w:rPr>
                      <w:sz w:val="24"/>
                      <w:szCs w:val="24"/>
                    </w:rPr>
                    <w:t>2×10</w:t>
                  </w:r>
                  <w:r w:rsidRPr="00FE01A2">
                    <w:rPr>
                      <w:sz w:val="24"/>
                      <w:szCs w:val="24"/>
                      <w:vertAlign w:val="superscript"/>
                    </w:rPr>
                    <w:t>-2</w:t>
                  </w:r>
                </w:p>
              </w:tc>
            </w:tr>
            <w:tr w:rsidR="00CA0DF4" w:rsidRPr="00FE01A2" w14:paraId="58BD3804" w14:textId="77777777" w:rsidTr="00D57427">
              <w:trPr>
                <w:trHeight w:val="276"/>
                <w:jc w:val="center"/>
              </w:trPr>
              <w:tc>
                <w:tcPr>
                  <w:tcW w:w="3539" w:type="dxa"/>
                  <w:tcBorders>
                    <w:top w:val="single" w:sz="4" w:space="0" w:color="auto"/>
                    <w:left w:val="nil"/>
                    <w:bottom w:val="nil"/>
                    <w:right w:val="nil"/>
                  </w:tcBorders>
                </w:tcPr>
                <w:p w14:paraId="70578ABB" w14:textId="77777777" w:rsidR="00CA0DF4" w:rsidRPr="00FE01A2" w:rsidRDefault="00CA0DF4" w:rsidP="00D57427">
                  <w:pPr>
                    <w:rPr>
                      <w:sz w:val="24"/>
                      <w:szCs w:val="24"/>
                    </w:rPr>
                  </w:pPr>
                </w:p>
              </w:tc>
              <w:tc>
                <w:tcPr>
                  <w:tcW w:w="2977" w:type="dxa"/>
                  <w:tcBorders>
                    <w:top w:val="single" w:sz="4" w:space="0" w:color="auto"/>
                    <w:left w:val="nil"/>
                    <w:bottom w:val="nil"/>
                    <w:right w:val="nil"/>
                  </w:tcBorders>
                </w:tcPr>
                <w:p w14:paraId="697215DA" w14:textId="77777777" w:rsidR="00CA0DF4" w:rsidRPr="00FE01A2" w:rsidRDefault="00CA0DF4" w:rsidP="00D57427">
                  <w:pPr>
                    <w:rPr>
                      <w:sz w:val="24"/>
                      <w:szCs w:val="24"/>
                    </w:rPr>
                  </w:pPr>
                </w:p>
              </w:tc>
            </w:tr>
          </w:tbl>
          <w:p w14:paraId="6E1AD9E7" w14:textId="77777777" w:rsidR="00CA0DF4" w:rsidRPr="00FE01A2" w:rsidRDefault="00CA0DF4" w:rsidP="00D57427">
            <w:pPr>
              <w:rPr>
                <w:sz w:val="24"/>
                <w:szCs w:val="24"/>
              </w:rPr>
            </w:pPr>
          </w:p>
        </w:tc>
      </w:tr>
    </w:tbl>
    <w:p w14:paraId="5023A028" w14:textId="01C3FF6B" w:rsidR="004B64D3" w:rsidRDefault="00CA0DF4">
      <w:pPr>
        <w:rPr>
          <w:szCs w:val="24"/>
        </w:rPr>
      </w:pPr>
      <w:r w:rsidRPr="00FE01A2">
        <w:rPr>
          <w:szCs w:val="24"/>
        </w:rPr>
        <w:t>Déterminer le noyau radioactif dont la demi-vie est la mieux adaptée pour dater l’occupation de la grotte. Justifier.</w:t>
      </w:r>
      <w:r w:rsidR="004B64D3">
        <w:rPr>
          <w:szCs w:val="24"/>
        </w:rPr>
        <w:br w:type="page"/>
      </w:r>
    </w:p>
    <w:p w14:paraId="5AA08466" w14:textId="77777777" w:rsidR="00CA0DF4" w:rsidRPr="00FE01A2" w:rsidRDefault="00CA0DF4" w:rsidP="004B64D3">
      <w:pPr>
        <w:jc w:val="both"/>
        <w:rPr>
          <w:szCs w:val="24"/>
        </w:rPr>
      </w:pPr>
      <w:r w:rsidRPr="00FE01A2">
        <w:rPr>
          <w:b/>
          <w:szCs w:val="24"/>
        </w:rPr>
        <w:lastRenderedPageBreak/>
        <w:t xml:space="preserve">3- </w:t>
      </w:r>
      <w:r w:rsidRPr="00FE01A2">
        <w:rPr>
          <w:color w:val="000000"/>
          <w:szCs w:val="24"/>
        </w:rPr>
        <w:t xml:space="preserve">Le charbon de bois est obtenu à partir du bois, qui est un matériau d'origine végétale. La peinture des chevaux (document 1-a) a été réalisée sur les parois de la grotte avec du charbon de bois. </w:t>
      </w:r>
    </w:p>
    <w:p w14:paraId="5B041385" w14:textId="77777777" w:rsidR="00CA0DF4" w:rsidRPr="00FE01A2" w:rsidRDefault="00CA0DF4" w:rsidP="004B64D3">
      <w:pPr>
        <w:jc w:val="both"/>
        <w:rPr>
          <w:szCs w:val="24"/>
        </w:rPr>
      </w:pPr>
      <w:r w:rsidRPr="00FE01A2">
        <w:rPr>
          <w:szCs w:val="24"/>
        </w:rPr>
        <w:t>On rappelle que le carbone radioactif (</w:t>
      </w:r>
      <w:r w:rsidRPr="00FE01A2">
        <w:rPr>
          <w:szCs w:val="24"/>
          <w:vertAlign w:val="superscript"/>
        </w:rPr>
        <w:t>14</w:t>
      </w:r>
      <w:r w:rsidRPr="00FE01A2">
        <w:rPr>
          <w:szCs w:val="24"/>
        </w:rPr>
        <w:t>C) est présent naturellement dans le dioxyde de carbone (CO</w:t>
      </w:r>
      <w:r w:rsidRPr="00FE01A2">
        <w:rPr>
          <w:szCs w:val="24"/>
          <w:vertAlign w:val="subscript"/>
        </w:rPr>
        <w:t>2</w:t>
      </w:r>
      <w:r w:rsidRPr="00FE01A2">
        <w:rPr>
          <w:szCs w:val="24"/>
        </w:rPr>
        <w:t>) atmosphérique.</w:t>
      </w:r>
    </w:p>
    <w:p w14:paraId="466DC6AF" w14:textId="77777777" w:rsidR="00CA0DF4" w:rsidRPr="00FE01A2" w:rsidRDefault="00CA0DF4" w:rsidP="004B64D3">
      <w:pPr>
        <w:jc w:val="both"/>
        <w:rPr>
          <w:b/>
          <w:szCs w:val="24"/>
        </w:rPr>
      </w:pPr>
      <w:r w:rsidRPr="00FE01A2">
        <w:rPr>
          <w:szCs w:val="24"/>
        </w:rPr>
        <w:t>Préciser le phénomène qui permet aux végétaux de fixer le carbone atmosphérique au sein de leur matière organique.</w:t>
      </w:r>
    </w:p>
    <w:p w14:paraId="7C6BFA97" w14:textId="77777777" w:rsidR="00CA0DF4" w:rsidRPr="00FE01A2" w:rsidRDefault="00CA0DF4" w:rsidP="00CA0DF4">
      <w:pPr>
        <w:rPr>
          <w:szCs w:val="24"/>
        </w:rPr>
      </w:pPr>
    </w:p>
    <w:p w14:paraId="55797CF3" w14:textId="77777777" w:rsidR="00CA0DF4" w:rsidRPr="00FE01A2" w:rsidRDefault="00CA0DF4" w:rsidP="004B64D3">
      <w:pPr>
        <w:jc w:val="both"/>
        <w:rPr>
          <w:szCs w:val="24"/>
        </w:rPr>
      </w:pPr>
      <w:r w:rsidRPr="00FE01A2">
        <w:rPr>
          <w:b/>
          <w:szCs w:val="24"/>
        </w:rPr>
        <w:t>4 -</w:t>
      </w:r>
      <w:r w:rsidRPr="00FE01A2">
        <w:rPr>
          <w:szCs w:val="24"/>
        </w:rPr>
        <w:t xml:space="preserve"> Après la mort du végétal ou son prélèvement par l’être humain, le végétal n’échange plus de carbone avec l’atmosphère. </w:t>
      </w:r>
    </w:p>
    <w:p w14:paraId="30BB4720" w14:textId="77777777" w:rsidR="00CA0DF4" w:rsidRPr="00FE01A2" w:rsidRDefault="00CA0DF4" w:rsidP="004B64D3">
      <w:pPr>
        <w:jc w:val="both"/>
        <w:rPr>
          <w:szCs w:val="24"/>
        </w:rPr>
      </w:pPr>
      <w:r w:rsidRPr="00FE01A2">
        <w:rPr>
          <w:b/>
          <w:bCs/>
          <w:szCs w:val="24"/>
        </w:rPr>
        <w:t>4-</w:t>
      </w:r>
      <w:proofErr w:type="gramStart"/>
      <w:r w:rsidRPr="00FE01A2">
        <w:rPr>
          <w:b/>
          <w:bCs/>
          <w:szCs w:val="24"/>
        </w:rPr>
        <w:t>a</w:t>
      </w:r>
      <w:proofErr w:type="gramEnd"/>
      <w:r w:rsidRPr="00FE01A2">
        <w:rPr>
          <w:szCs w:val="24"/>
        </w:rPr>
        <w:t xml:space="preserve"> Compléter le document réponse représentant la désintégration de </w:t>
      </w:r>
      <w:r w:rsidRPr="00FE01A2">
        <w:rPr>
          <w:szCs w:val="24"/>
          <w:vertAlign w:val="superscript"/>
        </w:rPr>
        <w:t>14</w:t>
      </w:r>
      <w:r w:rsidRPr="00FE01A2">
        <w:rPr>
          <w:szCs w:val="24"/>
        </w:rPr>
        <w:t>C au sein du charbon de bois.</w:t>
      </w:r>
    </w:p>
    <w:p w14:paraId="1BA47018" w14:textId="77777777" w:rsidR="00CA0DF4" w:rsidRPr="00FE01A2" w:rsidRDefault="00CA0DF4" w:rsidP="004B64D3">
      <w:pPr>
        <w:jc w:val="both"/>
        <w:rPr>
          <w:b/>
          <w:bCs/>
          <w:szCs w:val="24"/>
        </w:rPr>
      </w:pPr>
      <w:r w:rsidRPr="00FE01A2">
        <w:rPr>
          <w:b/>
          <w:bCs/>
          <w:szCs w:val="24"/>
        </w:rPr>
        <w:t xml:space="preserve">4-b </w:t>
      </w:r>
      <w:r w:rsidRPr="00FE01A2">
        <w:rPr>
          <w:szCs w:val="24"/>
        </w:rPr>
        <w:t xml:space="preserve">Indiquer si, en principe, la datation pourrait être réalisée avec un échantillon comprenant initialement </w:t>
      </w:r>
      <w:r w:rsidRPr="00FE01A2">
        <w:rPr>
          <w:i/>
          <w:iCs/>
          <w:szCs w:val="24"/>
        </w:rPr>
        <w:t>un seul</w:t>
      </w:r>
      <w:r w:rsidRPr="00FE01A2">
        <w:rPr>
          <w:szCs w:val="24"/>
        </w:rPr>
        <w:t xml:space="preserve"> noyau de </w:t>
      </w:r>
      <w:r w:rsidRPr="00FE01A2">
        <w:rPr>
          <w:szCs w:val="24"/>
          <w:vertAlign w:val="superscript"/>
        </w:rPr>
        <w:t>14</w:t>
      </w:r>
      <w:r w:rsidRPr="00FE01A2">
        <w:rPr>
          <w:szCs w:val="24"/>
        </w:rPr>
        <w:t xml:space="preserve">C, en admettant que l’on dispose d’appareils susceptibles de détecter la présence d’un seul noyau de </w:t>
      </w:r>
      <w:r w:rsidRPr="00FE01A2">
        <w:rPr>
          <w:szCs w:val="24"/>
          <w:vertAlign w:val="superscript"/>
        </w:rPr>
        <w:t>14</w:t>
      </w:r>
      <w:r w:rsidRPr="00FE01A2">
        <w:rPr>
          <w:szCs w:val="24"/>
        </w:rPr>
        <w:t xml:space="preserve">C. </w:t>
      </w:r>
      <w:r w:rsidRPr="00FE01A2">
        <w:rPr>
          <w:b/>
          <w:bCs/>
          <w:szCs w:val="24"/>
        </w:rPr>
        <w:t xml:space="preserve"> </w:t>
      </w:r>
    </w:p>
    <w:p w14:paraId="0E6CF78D" w14:textId="77777777" w:rsidR="00CA0DF4" w:rsidRPr="00FE01A2" w:rsidRDefault="00CA0DF4" w:rsidP="00CA0DF4">
      <w:pPr>
        <w:rPr>
          <w:szCs w:val="24"/>
        </w:rPr>
      </w:pPr>
    </w:p>
    <w:p w14:paraId="0561A3DC" w14:textId="77777777" w:rsidR="00CA0DF4" w:rsidRPr="00FE01A2" w:rsidRDefault="00CA0DF4" w:rsidP="004B64D3">
      <w:pPr>
        <w:jc w:val="both"/>
        <w:rPr>
          <w:szCs w:val="24"/>
        </w:rPr>
      </w:pPr>
      <w:r w:rsidRPr="00FE01A2">
        <w:rPr>
          <w:b/>
          <w:szCs w:val="24"/>
        </w:rPr>
        <w:t xml:space="preserve">5-a- </w:t>
      </w:r>
      <w:r w:rsidRPr="00FE01A2">
        <w:rPr>
          <w:szCs w:val="24"/>
        </w:rPr>
        <w:t xml:space="preserve">Sachant qu’il ne reste que 2,34 % du </w:t>
      </w:r>
      <w:r w:rsidRPr="00FE01A2">
        <w:rPr>
          <w:szCs w:val="24"/>
          <w:vertAlign w:val="superscript"/>
        </w:rPr>
        <w:t>14</w:t>
      </w:r>
      <w:r w:rsidRPr="00FE01A2">
        <w:rPr>
          <w:szCs w:val="24"/>
        </w:rPr>
        <w:t xml:space="preserve">C initial dans le charbon de la peinture, donner un encadrement en nombre entiers de demi-vies de la date de la mort du bois qui a servi – sous forme de charbon de bois - à réaliser la peinture. </w:t>
      </w:r>
    </w:p>
    <w:p w14:paraId="0DD7D4EA" w14:textId="77777777" w:rsidR="00CA0DF4" w:rsidRPr="00FE01A2" w:rsidRDefault="00CA0DF4" w:rsidP="00CA0DF4">
      <w:pPr>
        <w:rPr>
          <w:b/>
          <w:bCs/>
          <w:szCs w:val="24"/>
        </w:rPr>
      </w:pPr>
    </w:p>
    <w:p w14:paraId="2C0FCC02" w14:textId="77777777" w:rsidR="00CA0DF4" w:rsidRPr="00FE01A2" w:rsidRDefault="00CA0DF4" w:rsidP="004B64D3">
      <w:pPr>
        <w:jc w:val="both"/>
        <w:rPr>
          <w:szCs w:val="24"/>
        </w:rPr>
      </w:pPr>
      <w:r w:rsidRPr="00FE01A2">
        <w:rPr>
          <w:b/>
          <w:bCs/>
          <w:szCs w:val="24"/>
        </w:rPr>
        <w:t>5-b</w:t>
      </w:r>
      <w:r w:rsidRPr="00FE01A2">
        <w:rPr>
          <w:szCs w:val="24"/>
        </w:rPr>
        <w:t xml:space="preserve"> On utilise la figure 1 du document réponse dans laquelle on prend comme origine des âges l’instant correspondant à 5 demi-vies du </w:t>
      </w:r>
      <w:r w:rsidRPr="00FE01A2">
        <w:rPr>
          <w:szCs w:val="24"/>
          <w:vertAlign w:val="superscript"/>
        </w:rPr>
        <w:t>14</w:t>
      </w:r>
      <w:r w:rsidRPr="00FE01A2">
        <w:rPr>
          <w:szCs w:val="24"/>
        </w:rPr>
        <w:t>C, pour lequel N</w:t>
      </w:r>
      <w:r w:rsidRPr="00FE01A2">
        <w:rPr>
          <w:szCs w:val="24"/>
          <w:vertAlign w:val="subscript"/>
        </w:rPr>
        <w:t>0</w:t>
      </w:r>
      <w:r w:rsidRPr="00FE01A2">
        <w:rPr>
          <w:szCs w:val="24"/>
        </w:rPr>
        <w:t xml:space="preserve"> représente 3,13 % du nombre initial de noyaux de </w:t>
      </w:r>
      <w:r w:rsidRPr="00FE01A2">
        <w:rPr>
          <w:szCs w:val="24"/>
          <w:vertAlign w:val="superscript"/>
        </w:rPr>
        <w:t>14</w:t>
      </w:r>
      <w:r w:rsidRPr="00FE01A2">
        <w:rPr>
          <w:szCs w:val="24"/>
        </w:rPr>
        <w:t xml:space="preserve">C présents dans le charbon de la peinture. Déterminer graphiquement en années la durée nécessaire pour que le pourcentage de </w:t>
      </w:r>
      <w:r w:rsidRPr="00FE01A2">
        <w:rPr>
          <w:szCs w:val="24"/>
          <w:vertAlign w:val="superscript"/>
        </w:rPr>
        <w:t>14</w:t>
      </w:r>
      <w:r w:rsidRPr="00FE01A2">
        <w:rPr>
          <w:szCs w:val="24"/>
        </w:rPr>
        <w:t xml:space="preserve">C restant dans le charbon de bois passe de 3,13 % à 2,34 %.  </w:t>
      </w:r>
    </w:p>
    <w:p w14:paraId="751228A3" w14:textId="77777777" w:rsidR="00CA0DF4" w:rsidRPr="00FE01A2" w:rsidRDefault="00CA0DF4" w:rsidP="00CA0DF4">
      <w:pPr>
        <w:rPr>
          <w:b/>
          <w:bCs/>
          <w:szCs w:val="24"/>
        </w:rPr>
      </w:pPr>
    </w:p>
    <w:p w14:paraId="54ADF318" w14:textId="77777777" w:rsidR="00CA0DF4" w:rsidRPr="00FE01A2" w:rsidRDefault="00CA0DF4" w:rsidP="004B64D3">
      <w:pPr>
        <w:jc w:val="both"/>
        <w:rPr>
          <w:szCs w:val="24"/>
          <w:vertAlign w:val="superscript"/>
        </w:rPr>
      </w:pPr>
      <w:r w:rsidRPr="00FE01A2">
        <w:rPr>
          <w:b/>
          <w:bCs/>
          <w:szCs w:val="24"/>
        </w:rPr>
        <w:t>5-c</w:t>
      </w:r>
      <w:r w:rsidRPr="00FE01A2">
        <w:rPr>
          <w:szCs w:val="24"/>
        </w:rPr>
        <w:t xml:space="preserve"> Indiquer si</w:t>
      </w:r>
      <w:r w:rsidRPr="00FE01A2">
        <w:rPr>
          <w:b/>
          <w:szCs w:val="24"/>
        </w:rPr>
        <w:t xml:space="preserve"> </w:t>
      </w:r>
      <w:r w:rsidRPr="00FE01A2">
        <w:rPr>
          <w:szCs w:val="24"/>
        </w:rPr>
        <w:t xml:space="preserve">cette peinture a été faite lors de l'occupation à l'Aurignacien ou au Gravettien. Justifier. </w:t>
      </w:r>
    </w:p>
    <w:p w14:paraId="3053BF8E" w14:textId="77777777" w:rsidR="00CA0DF4" w:rsidRPr="00FE01A2" w:rsidRDefault="00CA0DF4" w:rsidP="00CA0DF4">
      <w:pPr>
        <w:rPr>
          <w:szCs w:val="24"/>
        </w:rPr>
      </w:pPr>
    </w:p>
    <w:p w14:paraId="17E86A47" w14:textId="77777777" w:rsidR="00CA0DF4" w:rsidRPr="00FE01A2" w:rsidRDefault="00CA0DF4" w:rsidP="004B64D3">
      <w:pPr>
        <w:jc w:val="both"/>
        <w:rPr>
          <w:szCs w:val="24"/>
        </w:rPr>
      </w:pPr>
      <w:r w:rsidRPr="00FE01A2">
        <w:rPr>
          <w:b/>
          <w:szCs w:val="24"/>
        </w:rPr>
        <w:t>6 -</w:t>
      </w:r>
      <w:r w:rsidRPr="00FE01A2">
        <w:rPr>
          <w:szCs w:val="24"/>
        </w:rPr>
        <w:t xml:space="preserve"> Au sein de cette grotte, on trouve également des gravures réalisées dans le calcaire (exemple de la gravure du hibou moyen-duc – document 1b).</w:t>
      </w:r>
    </w:p>
    <w:p w14:paraId="1B2DE42C" w14:textId="572A5A07" w:rsidR="00CA0DF4" w:rsidRPr="004B64D3" w:rsidRDefault="00CA0DF4" w:rsidP="004B64D3">
      <w:pPr>
        <w:jc w:val="both"/>
        <w:rPr>
          <w:szCs w:val="24"/>
        </w:rPr>
      </w:pPr>
      <w:r w:rsidRPr="00FE01A2">
        <w:rPr>
          <w:szCs w:val="24"/>
        </w:rPr>
        <w:t>La méthode précédente ne peut pas être utilisée pour la dater. Proposer une explication.</w:t>
      </w:r>
    </w:p>
    <w:sectPr w:rsidR="00CA0DF4" w:rsidRPr="004B64D3" w:rsidSect="00B507E8">
      <w:pgSz w:w="11906" w:h="16838"/>
      <w:pgMar w:top="794" w:right="794" w:bottom="79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embedRegular r:id="rId1" w:subsetted="1" w:fontKey="{38C023B4-F305-4307-B7B9-6F9AEF2C1EB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639"/>
    <w:rsid w:val="000529F4"/>
    <w:rsid w:val="00127733"/>
    <w:rsid w:val="0021216B"/>
    <w:rsid w:val="00290B46"/>
    <w:rsid w:val="0030164E"/>
    <w:rsid w:val="00336093"/>
    <w:rsid w:val="003B05DB"/>
    <w:rsid w:val="004468F1"/>
    <w:rsid w:val="0045319B"/>
    <w:rsid w:val="004B64D3"/>
    <w:rsid w:val="00505543"/>
    <w:rsid w:val="005377FE"/>
    <w:rsid w:val="00577639"/>
    <w:rsid w:val="0059619F"/>
    <w:rsid w:val="006A36CD"/>
    <w:rsid w:val="00874167"/>
    <w:rsid w:val="00902983"/>
    <w:rsid w:val="00985BBF"/>
    <w:rsid w:val="00986F51"/>
    <w:rsid w:val="00B21A0F"/>
    <w:rsid w:val="00B507E8"/>
    <w:rsid w:val="00C96450"/>
    <w:rsid w:val="00CA0DF4"/>
    <w:rsid w:val="00CC0EF0"/>
    <w:rsid w:val="00D461E7"/>
    <w:rsid w:val="00EA5A16"/>
    <w:rsid w:val="00F178C2"/>
    <w:rsid w:val="00F27508"/>
    <w:rsid w:val="00FB193F"/>
    <w:rsid w:val="00FE01A2"/>
    <w:rsid w:val="00FE57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EC5BE"/>
  <w15:chartTrackingRefBased/>
  <w15:docId w15:val="{7375572C-F698-4170-9520-3C31F0DDF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6CD"/>
    <w:rPr>
      <w:rFonts w:cs="Times New Roman"/>
      <w:szCs w:val="22"/>
    </w:rPr>
  </w:style>
  <w:style w:type="paragraph" w:styleId="Titre1">
    <w:name w:val="heading 1"/>
    <w:basedOn w:val="Normal"/>
    <w:next w:val="Normal"/>
    <w:link w:val="Titre1Car"/>
    <w:uiPriority w:val="9"/>
    <w:qFormat/>
    <w:rsid w:val="000529F4"/>
    <w:pPr>
      <w:keepNext/>
      <w:outlineLvl w:val="0"/>
    </w:pPr>
    <w:rPr>
      <w:rFonts w:eastAsiaTheme="majorEastAsia" w:cstheme="majorBidi"/>
      <w:b/>
      <w:bCs/>
      <w:kern w:val="32"/>
      <w:sz w:val="40"/>
      <w:szCs w:val="32"/>
      <w:u w:val="single"/>
    </w:rPr>
  </w:style>
  <w:style w:type="paragraph" w:styleId="Titre2">
    <w:name w:val="heading 2"/>
    <w:basedOn w:val="Normal"/>
    <w:next w:val="Normal"/>
    <w:link w:val="Titre2Car"/>
    <w:uiPriority w:val="9"/>
    <w:semiHidden/>
    <w:unhideWhenUsed/>
    <w:qFormat/>
    <w:rsid w:val="000529F4"/>
    <w:pPr>
      <w:keepNext/>
      <w:tabs>
        <w:tab w:val="left" w:pos="567"/>
      </w:tabs>
      <w:outlineLvl w:val="1"/>
    </w:pPr>
    <w:rPr>
      <w:rFonts w:eastAsiaTheme="majorEastAsia" w:cstheme="majorBidi"/>
      <w:b/>
      <w:bCs/>
      <w:iCs/>
      <w:sz w:val="32"/>
      <w:szCs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529F4"/>
    <w:rPr>
      <w:rFonts w:eastAsiaTheme="majorEastAsia" w:cstheme="majorBidi"/>
      <w:b/>
      <w:bCs/>
      <w:kern w:val="32"/>
      <w:sz w:val="40"/>
      <w:szCs w:val="32"/>
      <w:u w:val="single"/>
    </w:rPr>
  </w:style>
  <w:style w:type="character" w:customStyle="1" w:styleId="Titre2Car">
    <w:name w:val="Titre 2 Car"/>
    <w:basedOn w:val="Policepardfaut"/>
    <w:link w:val="Titre2"/>
    <w:uiPriority w:val="9"/>
    <w:semiHidden/>
    <w:rsid w:val="000529F4"/>
    <w:rPr>
      <w:rFonts w:eastAsiaTheme="majorEastAsia" w:cstheme="majorBidi"/>
      <w:b/>
      <w:bCs/>
      <w:iCs/>
      <w:sz w:val="32"/>
      <w:szCs w:val="28"/>
      <w:u w:val="single"/>
    </w:rPr>
  </w:style>
  <w:style w:type="table" w:styleId="Grilledutableau">
    <w:name w:val="Table Grid"/>
    <w:basedOn w:val="TableauNormal"/>
    <w:uiPriority w:val="59"/>
    <w:rsid w:val="00577639"/>
    <w:rPr>
      <w:rFonts w:eastAsia="Calibri" w:cs="Times New Roman"/>
      <w:sz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776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07/relationships/hdphoto" Target="media/hdphoto2.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microsoft.com/office/2007/relationships/hdphoto" Target="media/hdphoto1.wdp"/><Relationship Id="rId4" Type="http://schemas.openxmlformats.org/officeDocument/2006/relationships/image" Target="media/image1.png"/><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598</Words>
  <Characters>3291</Characters>
  <Application>Microsoft Office Word</Application>
  <DocSecurity>0</DocSecurity>
  <Lines>27</Lines>
  <Paragraphs>7</Paragraphs>
  <ScaleCrop>false</ScaleCrop>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CLEMENT</dc:creator>
  <cp:keywords/>
  <dc:description/>
  <cp:lastModifiedBy>Jocelyn CLEMENT</cp:lastModifiedBy>
  <cp:revision>3</cp:revision>
  <dcterms:created xsi:type="dcterms:W3CDTF">2020-05-17T19:31:00Z</dcterms:created>
  <dcterms:modified xsi:type="dcterms:W3CDTF">2020-05-17T19:33:00Z</dcterms:modified>
</cp:coreProperties>
</file>