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33103C">
        <w:tc>
          <w:tcPr>
            <w:tcW w:w="10031" w:type="dxa"/>
          </w:tcPr>
          <w:p w14:paraId="69F069B2" w14:textId="07A8F73D" w:rsidR="00EB5DE9" w:rsidRDefault="0089178E" w:rsidP="003256B9">
            <w:pPr>
              <w:spacing w:line="240" w:lineRule="auto"/>
              <w:ind w:left="567"/>
              <w:jc w:val="center"/>
              <w:rPr>
                <w:rFonts w:eastAsia="Times New Roman"/>
                <w:b/>
                <w:color w:val="595959" w:themeColor="text1" w:themeTint="A6"/>
                <w:sz w:val="28"/>
                <w:szCs w:val="22"/>
              </w:rPr>
            </w:pPr>
            <w:r w:rsidRPr="00E51FB5">
              <w:rPr>
                <w:rFonts w:eastAsia="Times New Roman"/>
                <w:b/>
                <w:szCs w:val="22"/>
              </w:rPr>
              <w:t>ÉPREUVES COMMUNES DE CONTRÔLE CONTINU</w:t>
            </w:r>
            <w:r w:rsidR="003256B9">
              <w:rPr>
                <w:rFonts w:eastAsia="Times New Roman"/>
                <w:b/>
                <w:szCs w:val="22"/>
              </w:rPr>
              <w:tab/>
            </w:r>
            <w:r w:rsidR="003256B9">
              <w:rPr>
                <w:rFonts w:eastAsia="Times New Roman"/>
                <w:b/>
                <w:szCs w:val="22"/>
              </w:rPr>
              <w:tab/>
              <w:t>2020</w:t>
            </w:r>
            <w:r w:rsidR="003256B9">
              <w:rPr>
                <w:rFonts w:eastAsia="Times New Roman"/>
                <w:b/>
                <w:szCs w:val="22"/>
              </w:rPr>
              <w:tab/>
            </w:r>
            <w:hyperlink r:id="rId7" w:history="1">
              <w:r w:rsidR="00EB5DE9" w:rsidRPr="009E1F2C">
                <w:rPr>
                  <w:rStyle w:val="Lienhypertexte"/>
                  <w:rFonts w:eastAsia="Times New Roman"/>
                  <w:b/>
                  <w:szCs w:val="22"/>
                </w:rPr>
                <w:t>http://labolycee.org</w:t>
              </w:r>
            </w:hyperlink>
            <w:r w:rsidR="00EB5DE9">
              <w:rPr>
                <w:rFonts w:eastAsia="Times New Roman"/>
                <w:b/>
                <w:color w:val="595959" w:themeColor="text1" w:themeTint="A6"/>
                <w:szCs w:val="22"/>
              </w:rPr>
              <w:t xml:space="preserve"> </w:t>
            </w:r>
          </w:p>
        </w:tc>
      </w:tr>
      <w:tr w:rsidR="0089178E" w14:paraId="129B2E26" w14:textId="77777777" w:rsidTr="0033103C">
        <w:tc>
          <w:tcPr>
            <w:tcW w:w="10031" w:type="dxa"/>
          </w:tcPr>
          <w:p w14:paraId="2EF13902" w14:textId="53C8F761" w:rsidR="0089178E" w:rsidRPr="00893F38" w:rsidRDefault="0089178E" w:rsidP="00515A73">
            <w:pPr>
              <w:spacing w:after="0"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6973D4">
              <w:rPr>
                <w:rFonts w:eastAsia="Times New Roman"/>
                <w:color w:val="000000" w:themeColor="text1"/>
                <w:sz w:val="20"/>
                <w:szCs w:val="22"/>
              </w:rPr>
              <w:tab/>
            </w:r>
            <w:r w:rsidR="006973D4">
              <w:rPr>
                <w:rFonts w:eastAsia="Times New Roman"/>
                <w:color w:val="000000" w:themeColor="text1"/>
                <w:sz w:val="20"/>
                <w:szCs w:val="22"/>
              </w:rPr>
              <w:tab/>
            </w:r>
            <w:r w:rsidR="006973D4">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78BD5B76" w:rsidR="0089178E" w:rsidRPr="00626E0F" w:rsidRDefault="0089178E" w:rsidP="00515A73">
            <w:pPr>
              <w:spacing w:after="0"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6973D4">
              <w:rPr>
                <w:rFonts w:eastAsia="Times New Roman"/>
                <w:color w:val="000000" w:themeColor="text1"/>
                <w:sz w:val="20"/>
                <w:szCs w:val="22"/>
              </w:rPr>
              <w:tab/>
            </w:r>
            <w:r w:rsidR="006973D4">
              <w:rPr>
                <w:rFonts w:eastAsia="Times New Roman"/>
                <w:color w:val="000000" w:themeColor="text1"/>
                <w:sz w:val="20"/>
                <w:szCs w:val="22"/>
              </w:rPr>
              <w:tab/>
            </w:r>
            <w:r w:rsidR="006973D4">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DF67E64" w:rsidR="0089178E" w:rsidRPr="00626E0F" w:rsidRDefault="0089178E" w:rsidP="00515A73">
            <w:pPr>
              <w:spacing w:after="0"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6973D4">
              <w:rPr>
                <w:rFonts w:eastAsia="Times New Roman"/>
                <w:color w:val="000000" w:themeColor="text1"/>
                <w:sz w:val="20"/>
                <w:szCs w:val="22"/>
              </w:rPr>
              <w:tab/>
            </w:r>
            <w:r w:rsidR="006973D4">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90ABFD1" w14:textId="77777777" w:rsidR="00DE299A" w:rsidRPr="00DE299A" w:rsidRDefault="00DE299A" w:rsidP="00DE299A">
      <w:pPr>
        <w:spacing w:after="0" w:line="240" w:lineRule="auto"/>
        <w:ind w:left="0"/>
        <w:jc w:val="center"/>
        <w:rPr>
          <w:rFonts w:eastAsiaTheme="minorHAnsi" w:cs="Arial"/>
          <w:lang w:eastAsia="en-US"/>
        </w:rPr>
      </w:pPr>
      <w:r w:rsidRPr="00DE299A">
        <w:rPr>
          <w:rFonts w:eastAsiaTheme="minorHAnsi" w:cs="Arial"/>
          <w:b/>
          <w:lang w:eastAsia="en-US"/>
        </w:rPr>
        <w:t>Dihydrogène et ballons dirigeables (10 points)</w:t>
      </w:r>
    </w:p>
    <w:p w14:paraId="0C6D9104" w14:textId="77777777" w:rsidR="00DE299A" w:rsidRPr="00DE299A" w:rsidRDefault="00DE299A" w:rsidP="00DE299A">
      <w:pPr>
        <w:spacing w:after="0" w:line="240" w:lineRule="auto"/>
        <w:ind w:left="0"/>
        <w:rPr>
          <w:rFonts w:eastAsia="Arial Unicode MS" w:cs="Arial"/>
          <w:shd w:val="clear" w:color="auto" w:fill="FFFFFF"/>
          <w:lang w:eastAsia="en-US"/>
        </w:rPr>
      </w:pPr>
    </w:p>
    <w:p w14:paraId="626102FE" w14:textId="77777777" w:rsidR="00DE299A" w:rsidRPr="00DE299A" w:rsidRDefault="00DE299A" w:rsidP="00313926">
      <w:pPr>
        <w:spacing w:after="200" w:line="276" w:lineRule="auto"/>
        <w:ind w:left="0"/>
        <w:jc w:val="both"/>
        <w:rPr>
          <w:rFonts w:eastAsia="Arial Unicode MS" w:cs="Arial"/>
          <w:lang w:eastAsia="en-US"/>
        </w:rPr>
      </w:pPr>
      <w:r w:rsidRPr="00DE299A">
        <w:rPr>
          <w:rFonts w:eastAsia="Arial Unicode MS" w:cs="Arial"/>
          <w:lang w:eastAsia="en-US"/>
        </w:rPr>
        <w:t xml:space="preserve">Paracelse, Cavendish, Lavoisier sont quelques-uns des scientifiques rattachés à l’histoire du dihydrogène, gaz inodore et incolore, découvert depuis plus de trois siècles. On le produisait à l’époque en faisant réagir de l’acide sulfurique ou de l’acide chlorhydrique sur différents métaux comme le fer, le zinc ou encore l’étain. </w:t>
      </w:r>
    </w:p>
    <w:tbl>
      <w:tblPr>
        <w:tblStyle w:val="Grilledutableau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53"/>
      </w:tblGrid>
      <w:tr w:rsidR="00DE299A" w:rsidRPr="00DE299A" w14:paraId="3FD1A32D" w14:textId="77777777" w:rsidTr="000A4FD6">
        <w:tc>
          <w:tcPr>
            <w:tcW w:w="6487" w:type="dxa"/>
          </w:tcPr>
          <w:p w14:paraId="3EBCC17C" w14:textId="77777777" w:rsidR="00DE299A" w:rsidRPr="00DE299A" w:rsidRDefault="00DE299A" w:rsidP="00313926">
            <w:pPr>
              <w:spacing w:after="0" w:line="240" w:lineRule="auto"/>
              <w:ind w:left="0"/>
              <w:jc w:val="both"/>
              <w:rPr>
                <w:rFonts w:ascii="Arial" w:eastAsia="Arial Unicode MS" w:hAnsi="Arial" w:cs="Arial"/>
              </w:rPr>
            </w:pPr>
            <w:r w:rsidRPr="00DE299A">
              <w:rPr>
                <w:rFonts w:ascii="Arial" w:eastAsia="Arial Unicode MS" w:hAnsi="Arial" w:cs="Arial"/>
              </w:rPr>
              <w:t xml:space="preserve">Les frères Montgolfier, Jacques Charles et Nicolas Robert qui avaient construit le premier ballon à air chaud, mirent au point le premier ballon à gaz, rempli de dihydrogène. </w:t>
            </w:r>
            <w:r w:rsidRPr="00DE299A">
              <w:rPr>
                <w:rFonts w:ascii="Arial" w:eastAsia="Arial Unicode MS" w:hAnsi="Arial" w:cs="Arial"/>
                <w:shd w:val="clear" w:color="auto" w:fill="FFFFFF"/>
              </w:rPr>
              <w:t>Le 27 août 1783, ce ballon s’éleva dans les airs depuis le Champ-de-Mars à Paris. Plus tard, d’autres ballons ont été construits et équipés de moteurs, ouvrant au début du 20</w:t>
            </w:r>
            <w:r w:rsidRPr="00DE299A">
              <w:rPr>
                <w:rFonts w:ascii="Arial" w:eastAsia="Arial Unicode MS" w:hAnsi="Arial" w:cs="Arial"/>
                <w:shd w:val="clear" w:color="auto" w:fill="FFFFFF"/>
                <w:vertAlign w:val="superscript"/>
              </w:rPr>
              <w:t>ème</w:t>
            </w:r>
            <w:r w:rsidRPr="00DE299A">
              <w:rPr>
                <w:rFonts w:ascii="Arial" w:eastAsia="Arial Unicode MS" w:hAnsi="Arial" w:cs="Arial"/>
                <w:shd w:val="clear" w:color="auto" w:fill="FFFFFF"/>
              </w:rPr>
              <w:t xml:space="preserve"> siècle, une nouvelle technique de navigation aérienne avec les </w:t>
            </w:r>
            <w:r w:rsidRPr="00DE299A">
              <w:rPr>
                <w:rFonts w:ascii="Arial" w:eastAsia="Arial Unicode MS" w:hAnsi="Arial" w:cs="Arial"/>
                <w:bCs/>
              </w:rPr>
              <w:t>dirigeables, comme ceux construit par la société allemande Zeppelin</w:t>
            </w:r>
            <w:r w:rsidRPr="00DE299A">
              <w:rPr>
                <w:rFonts w:ascii="Arial" w:eastAsia="Arial Unicode MS" w:hAnsi="Arial" w:cs="Arial"/>
                <w:shd w:val="clear" w:color="auto" w:fill="FFFFFF"/>
              </w:rPr>
              <w:t xml:space="preserve">. </w:t>
            </w:r>
          </w:p>
          <w:p w14:paraId="6A578B82" w14:textId="77777777" w:rsidR="00DE299A" w:rsidRPr="00DE299A" w:rsidRDefault="00DE299A" w:rsidP="00DE299A">
            <w:pPr>
              <w:spacing w:after="0" w:line="240" w:lineRule="auto"/>
              <w:ind w:left="567"/>
              <w:jc w:val="center"/>
              <w:rPr>
                <w:rFonts w:ascii="Arial" w:hAnsi="Arial" w:cs="Arial"/>
                <w:i/>
              </w:rPr>
            </w:pPr>
          </w:p>
          <w:p w14:paraId="3B8FF5C9" w14:textId="77777777" w:rsidR="00DE299A" w:rsidRPr="00DE299A" w:rsidRDefault="00DE299A" w:rsidP="00DE299A">
            <w:pPr>
              <w:spacing w:after="0" w:line="240" w:lineRule="auto"/>
              <w:ind w:left="567"/>
              <w:rPr>
                <w:rFonts w:ascii="Arial" w:eastAsia="Arial Unicode MS" w:hAnsi="Arial" w:cs="Arial"/>
              </w:rPr>
            </w:pPr>
          </w:p>
        </w:tc>
        <w:tc>
          <w:tcPr>
            <w:tcW w:w="3953" w:type="dxa"/>
          </w:tcPr>
          <w:p w14:paraId="1CD4E7A7" w14:textId="77777777" w:rsidR="00DE299A" w:rsidRPr="00DE299A" w:rsidRDefault="00DE299A" w:rsidP="00DE299A">
            <w:pPr>
              <w:spacing w:after="0" w:line="240" w:lineRule="auto"/>
              <w:ind w:left="567"/>
              <w:jc w:val="center"/>
              <w:rPr>
                <w:rFonts w:ascii="Arial" w:hAnsi="Arial" w:cs="Arial"/>
                <w:i/>
              </w:rPr>
            </w:pPr>
            <w:r w:rsidRPr="00DE299A">
              <w:rPr>
                <w:rFonts w:eastAsia="Arial Unicode MS" w:cs="Arial"/>
                <w:noProof/>
              </w:rPr>
              <w:drawing>
                <wp:inline distT="0" distB="0" distL="0" distR="0" wp14:anchorId="63BAD13C" wp14:editId="7D524052">
                  <wp:extent cx="1184744" cy="143123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468" cy="1440566"/>
                          </a:xfrm>
                          <a:prstGeom prst="rect">
                            <a:avLst/>
                          </a:prstGeom>
                        </pic:spPr>
                      </pic:pic>
                    </a:graphicData>
                  </a:graphic>
                </wp:inline>
              </w:drawing>
            </w:r>
            <w:r w:rsidRPr="00DE299A">
              <w:rPr>
                <w:rFonts w:ascii="Arial" w:hAnsi="Arial" w:cs="Arial"/>
                <w:i/>
              </w:rPr>
              <w:t xml:space="preserve"> </w:t>
            </w:r>
          </w:p>
          <w:p w14:paraId="2EC7BE05" w14:textId="77777777" w:rsidR="00DE299A" w:rsidRPr="00DE299A" w:rsidRDefault="00DE299A" w:rsidP="00DE299A">
            <w:pPr>
              <w:spacing w:after="0" w:line="240" w:lineRule="auto"/>
              <w:ind w:left="567"/>
              <w:jc w:val="center"/>
              <w:rPr>
                <w:rFonts w:ascii="Arial" w:hAnsi="Arial" w:cs="Arial"/>
                <w:i/>
                <w:sz w:val="20"/>
                <w:szCs w:val="20"/>
              </w:rPr>
            </w:pPr>
            <w:r w:rsidRPr="00DE299A">
              <w:rPr>
                <w:rFonts w:ascii="Arial" w:hAnsi="Arial" w:cs="Arial"/>
                <w:i/>
                <w:sz w:val="20"/>
                <w:szCs w:val="20"/>
              </w:rPr>
              <w:t>Gravure extraite de l’</w:t>
            </w:r>
            <w:r w:rsidRPr="00DE299A">
              <w:rPr>
                <w:rFonts w:ascii="Arial" w:hAnsi="Arial" w:cs="Arial"/>
                <w:i/>
                <w:sz w:val="20"/>
                <w:szCs w:val="20"/>
                <w:u w:val="single"/>
              </w:rPr>
              <w:t>Album de la Science</w:t>
            </w:r>
          </w:p>
        </w:tc>
      </w:tr>
    </w:tbl>
    <w:p w14:paraId="686DDB9F" w14:textId="77777777" w:rsidR="00DE299A" w:rsidRPr="00DE299A" w:rsidRDefault="00DE299A" w:rsidP="00313926">
      <w:pPr>
        <w:spacing w:after="200" w:line="276" w:lineRule="auto"/>
        <w:ind w:left="0"/>
        <w:jc w:val="both"/>
        <w:rPr>
          <w:rFonts w:eastAsia="Arial Unicode MS" w:cs="Arial"/>
          <w:shd w:val="clear" w:color="auto" w:fill="FFFFFF"/>
          <w:lang w:eastAsia="en-US"/>
        </w:rPr>
      </w:pPr>
      <w:r w:rsidRPr="00DE299A">
        <w:rPr>
          <w:rFonts w:eastAsia="Arial Unicode MS" w:cs="Arial"/>
          <w:shd w:val="clear" w:color="auto" w:fill="FFFFFF"/>
          <w:lang w:eastAsia="en-US"/>
        </w:rPr>
        <w:t>Cet exercice a pour objectif, l’étude d’une transformation chimique permettant de produire du dihydrogène, puis l’interprétation de l’accident survenu en 1937 à l’Hindenburg, un ballon dirigeable gonflé au dihydrogène.</w:t>
      </w:r>
    </w:p>
    <w:p w14:paraId="598F60A4" w14:textId="77777777" w:rsidR="00DE299A" w:rsidRPr="00DE299A" w:rsidRDefault="00DE299A" w:rsidP="00DE299A">
      <w:pPr>
        <w:spacing w:after="0" w:line="240" w:lineRule="auto"/>
        <w:ind w:left="567"/>
        <w:rPr>
          <w:rFonts w:eastAsia="Arial Unicode MS" w:cs="Arial"/>
          <w:shd w:val="clear" w:color="auto" w:fill="FFFFFF"/>
          <w:lang w:eastAsia="en-US"/>
        </w:rPr>
      </w:pPr>
    </w:p>
    <w:p w14:paraId="523BC932" w14:textId="06C1C23B" w:rsidR="00DE299A" w:rsidRPr="00DE299A" w:rsidRDefault="00DE299A" w:rsidP="00F874D4">
      <w:pPr>
        <w:spacing w:after="0" w:line="240" w:lineRule="auto"/>
        <w:ind w:left="0"/>
        <w:rPr>
          <w:rFonts w:eastAsia="Arial Unicode MS" w:cs="Arial"/>
          <w:b/>
          <w:lang w:eastAsia="en-US"/>
        </w:rPr>
      </w:pPr>
      <w:r w:rsidRPr="00DE299A">
        <w:rPr>
          <w:rFonts w:eastAsia="Arial Unicode MS" w:cs="Arial"/>
          <w:b/>
          <w:lang w:eastAsia="en-US"/>
        </w:rPr>
        <w:t>1. Étude d’une transformation chimique permettant de produire du dihydrogène</w:t>
      </w:r>
    </w:p>
    <w:tbl>
      <w:tblPr>
        <w:tblStyle w:val="Grilledutableau1"/>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636"/>
      </w:tblGrid>
      <w:tr w:rsidR="00DE299A" w:rsidRPr="00DE299A" w14:paraId="1A579609" w14:textId="77777777" w:rsidTr="000A4FD6">
        <w:tc>
          <w:tcPr>
            <w:tcW w:w="4928" w:type="dxa"/>
          </w:tcPr>
          <w:p w14:paraId="5AA26C23" w14:textId="77777777" w:rsidR="00DE299A" w:rsidRPr="00DE299A" w:rsidRDefault="00DE299A" w:rsidP="00F874D4">
            <w:pPr>
              <w:spacing w:after="0" w:line="240" w:lineRule="auto"/>
              <w:ind w:left="0"/>
              <w:rPr>
                <w:rFonts w:ascii="Arial" w:eastAsia="Arial Unicode MS" w:hAnsi="Arial" w:cs="Arial"/>
              </w:rPr>
            </w:pPr>
          </w:p>
          <w:p w14:paraId="241B66EA" w14:textId="77777777" w:rsidR="00DE299A" w:rsidRPr="00DE299A" w:rsidRDefault="00DE299A" w:rsidP="00313926">
            <w:pPr>
              <w:spacing w:after="0" w:line="240" w:lineRule="auto"/>
              <w:ind w:left="0"/>
              <w:jc w:val="both"/>
              <w:rPr>
                <w:rFonts w:ascii="Arial" w:eastAsia="Arial Unicode MS" w:hAnsi="Arial" w:cs="Arial"/>
              </w:rPr>
            </w:pPr>
            <w:r w:rsidRPr="00DE299A">
              <w:rPr>
                <w:rFonts w:ascii="Arial" w:eastAsia="Arial Unicode MS" w:hAnsi="Arial" w:cs="Arial"/>
              </w:rPr>
              <w:t xml:space="preserve">Pour observer cette transformation, on réalise le montage représenté ci-contre.  </w:t>
            </w:r>
          </w:p>
          <w:p w14:paraId="4A47DD93" w14:textId="77777777" w:rsidR="00DE299A" w:rsidRPr="00DE299A" w:rsidRDefault="00DE299A" w:rsidP="00313926">
            <w:pPr>
              <w:spacing w:after="0" w:line="240" w:lineRule="auto"/>
              <w:ind w:left="0"/>
              <w:jc w:val="both"/>
              <w:rPr>
                <w:rFonts w:ascii="Arial" w:eastAsia="Arial Unicode MS" w:hAnsi="Arial" w:cs="Arial"/>
              </w:rPr>
            </w:pPr>
            <w:r w:rsidRPr="00DE299A">
              <w:rPr>
                <w:rFonts w:ascii="Arial" w:eastAsia="Arial Unicode MS" w:hAnsi="Arial" w:cs="Arial"/>
              </w:rPr>
              <w:t>On introduit dans un erlenmeyer un morceau de ruban de magnésium Mg</w:t>
            </w:r>
            <w:r w:rsidRPr="00DE299A">
              <w:rPr>
                <w:rFonts w:ascii="Arial" w:eastAsia="Arial Unicode MS" w:hAnsi="Arial" w:cs="Arial"/>
                <w:vertAlign w:val="subscript"/>
              </w:rPr>
              <w:t>(s)</w:t>
            </w:r>
            <w:r w:rsidRPr="00DE299A">
              <w:rPr>
                <w:rFonts w:ascii="Arial" w:eastAsia="Arial Unicode MS" w:hAnsi="Arial" w:cs="Arial"/>
              </w:rPr>
              <w:t xml:space="preserve">, de masse </w:t>
            </w:r>
            <w:r w:rsidRPr="00DE299A">
              <w:rPr>
                <w:rFonts w:ascii="Arial" w:eastAsia="Arial Unicode MS" w:hAnsi="Arial" w:cs="Arial"/>
                <w:i/>
                <w:iCs/>
              </w:rPr>
              <w:t>m</w:t>
            </w:r>
            <w:r w:rsidRPr="00DE299A">
              <w:rPr>
                <w:rFonts w:ascii="Arial" w:eastAsia="Arial Unicode MS" w:hAnsi="Arial" w:cs="Arial"/>
              </w:rPr>
              <w:t xml:space="preserve">= 40 mg, et un volume </w:t>
            </w:r>
            <w:r w:rsidRPr="00DE299A">
              <w:rPr>
                <w:rFonts w:ascii="Arial" w:eastAsia="Arial Unicode MS" w:hAnsi="Arial" w:cs="Arial"/>
                <w:i/>
                <w:iCs/>
              </w:rPr>
              <w:t>V</w:t>
            </w:r>
            <w:r w:rsidRPr="00DE299A">
              <w:rPr>
                <w:rFonts w:ascii="Arial" w:eastAsia="Arial Unicode MS" w:hAnsi="Arial" w:cs="Arial"/>
                <w:i/>
                <w:iCs/>
                <w:vertAlign w:val="subscript"/>
              </w:rPr>
              <w:t>a</w:t>
            </w:r>
            <w:r w:rsidRPr="00DE299A">
              <w:rPr>
                <w:rFonts w:ascii="Arial" w:hAnsi="Arial" w:cs="Arial"/>
              </w:rPr>
              <w:t> </w:t>
            </w:r>
            <w:r w:rsidRPr="00DE299A">
              <w:rPr>
                <w:rFonts w:ascii="Arial" w:eastAsia="Arial Unicode MS" w:hAnsi="Arial" w:cs="Arial"/>
              </w:rPr>
              <w:t xml:space="preserve">= 100 </w:t>
            </w:r>
            <w:proofErr w:type="gramStart"/>
            <w:r w:rsidRPr="00DE299A">
              <w:rPr>
                <w:rFonts w:ascii="Arial" w:eastAsia="Arial Unicode MS" w:hAnsi="Arial" w:cs="Arial"/>
              </w:rPr>
              <w:t>mL  d’acide</w:t>
            </w:r>
            <w:proofErr w:type="gramEnd"/>
            <w:r w:rsidRPr="00DE299A">
              <w:rPr>
                <w:rFonts w:ascii="Arial" w:eastAsia="Arial Unicode MS" w:hAnsi="Arial" w:cs="Arial"/>
              </w:rPr>
              <w:t xml:space="preserve"> chlorhydrique (H</w:t>
            </w:r>
            <w:r w:rsidRPr="00DE299A">
              <w:rPr>
                <w:rFonts w:ascii="Arial" w:eastAsia="Arial Unicode MS" w:hAnsi="Arial" w:cs="Arial"/>
                <w:vertAlign w:val="superscript"/>
              </w:rPr>
              <w:t>+</w:t>
            </w:r>
            <w:r w:rsidRPr="00DE299A">
              <w:rPr>
                <w:rFonts w:ascii="Arial" w:eastAsia="Arial Unicode MS" w:hAnsi="Arial" w:cs="Arial"/>
                <w:vertAlign w:val="subscript"/>
              </w:rPr>
              <w:t>(</w:t>
            </w:r>
            <w:proofErr w:type="spellStart"/>
            <w:r w:rsidRPr="00DE299A">
              <w:rPr>
                <w:rFonts w:ascii="Arial" w:eastAsia="Arial Unicode MS" w:hAnsi="Arial" w:cs="Arial"/>
                <w:vertAlign w:val="subscript"/>
              </w:rPr>
              <w:t>aq</w:t>
            </w:r>
            <w:proofErr w:type="spellEnd"/>
            <w:r w:rsidRPr="00DE299A">
              <w:rPr>
                <w:rFonts w:ascii="Arial" w:eastAsia="Arial Unicode MS" w:hAnsi="Arial" w:cs="Arial"/>
                <w:vertAlign w:val="subscript"/>
              </w:rPr>
              <w:t xml:space="preserve">) </w:t>
            </w:r>
            <w:r w:rsidRPr="00DE299A">
              <w:rPr>
                <w:rFonts w:ascii="Arial" w:eastAsia="Arial Unicode MS" w:hAnsi="Arial" w:cs="Arial"/>
              </w:rPr>
              <w:t>+ Cl</w:t>
            </w:r>
            <w:r w:rsidRPr="00DE299A">
              <w:rPr>
                <w:rFonts w:ascii="Arial" w:eastAsia="Arial Unicode MS" w:hAnsi="Arial" w:cs="Arial"/>
                <w:b/>
                <w:vertAlign w:val="superscript"/>
              </w:rPr>
              <w:t xml:space="preserve">– </w:t>
            </w:r>
            <w:r w:rsidRPr="00DE299A">
              <w:rPr>
                <w:rFonts w:ascii="Arial" w:eastAsia="Arial Unicode MS" w:hAnsi="Arial" w:cs="Arial"/>
                <w:vertAlign w:val="subscript"/>
              </w:rPr>
              <w:t>(</w:t>
            </w:r>
            <w:proofErr w:type="spellStart"/>
            <w:r w:rsidRPr="00DE299A">
              <w:rPr>
                <w:rFonts w:ascii="Arial" w:eastAsia="Arial Unicode MS" w:hAnsi="Arial" w:cs="Arial"/>
                <w:vertAlign w:val="subscript"/>
              </w:rPr>
              <w:t>aq</w:t>
            </w:r>
            <w:proofErr w:type="spellEnd"/>
            <w:r w:rsidRPr="00DE299A">
              <w:rPr>
                <w:rFonts w:ascii="Arial" w:eastAsia="Arial Unicode MS" w:hAnsi="Arial" w:cs="Arial"/>
                <w:vertAlign w:val="subscript"/>
              </w:rPr>
              <w:t>)</w:t>
            </w:r>
            <w:r w:rsidRPr="00DE299A">
              <w:rPr>
                <w:rFonts w:ascii="Arial" w:eastAsia="Arial Unicode MS" w:hAnsi="Arial" w:cs="Arial"/>
              </w:rPr>
              <w:t>), solution aqueuse S</w:t>
            </w:r>
            <w:r w:rsidRPr="00DE299A">
              <w:rPr>
                <w:rFonts w:ascii="Arial" w:eastAsia="Arial Unicode MS" w:hAnsi="Arial" w:cs="Arial"/>
                <w:vertAlign w:val="subscript"/>
              </w:rPr>
              <w:t>a</w:t>
            </w:r>
            <w:r w:rsidRPr="00DE299A">
              <w:rPr>
                <w:rFonts w:ascii="Arial" w:eastAsia="Arial Unicode MS" w:hAnsi="Arial" w:cs="Arial"/>
              </w:rPr>
              <w:t xml:space="preserve"> de concentration en ions H</w:t>
            </w:r>
            <w:r w:rsidRPr="00DE299A">
              <w:rPr>
                <w:rFonts w:ascii="Arial" w:eastAsia="Arial Unicode MS" w:hAnsi="Arial" w:cs="Arial"/>
                <w:vertAlign w:val="superscript"/>
              </w:rPr>
              <w:t>+</w:t>
            </w:r>
            <w:r w:rsidRPr="00DE299A">
              <w:rPr>
                <w:rFonts w:ascii="Arial" w:eastAsia="Arial Unicode MS" w:hAnsi="Arial" w:cs="Arial"/>
              </w:rPr>
              <w:t>(</w:t>
            </w:r>
            <w:proofErr w:type="spellStart"/>
            <w:r w:rsidRPr="00DE299A">
              <w:rPr>
                <w:rFonts w:ascii="Arial" w:eastAsia="Arial Unicode MS" w:hAnsi="Arial" w:cs="Arial"/>
              </w:rPr>
              <w:t>aq</w:t>
            </w:r>
            <w:proofErr w:type="spellEnd"/>
            <w:r w:rsidRPr="00DE299A">
              <w:rPr>
                <w:rFonts w:ascii="Arial" w:eastAsia="Arial Unicode MS" w:hAnsi="Arial" w:cs="Arial"/>
              </w:rPr>
              <w:t xml:space="preserve">) égale à </w:t>
            </w:r>
            <w:r w:rsidRPr="00DE299A">
              <w:rPr>
                <w:rFonts w:ascii="Arial" w:eastAsia="Arial Unicode MS" w:hAnsi="Arial" w:cs="Arial"/>
                <w:i/>
                <w:iCs/>
              </w:rPr>
              <w:t>C</w:t>
            </w:r>
            <w:r w:rsidRPr="00DE299A">
              <w:rPr>
                <w:rFonts w:ascii="Arial" w:eastAsia="Arial Unicode MS" w:hAnsi="Arial" w:cs="Arial"/>
                <w:i/>
                <w:iCs/>
                <w:vertAlign w:val="subscript"/>
              </w:rPr>
              <w:t>a</w:t>
            </w:r>
            <w:r w:rsidRPr="00DE299A">
              <w:rPr>
                <w:rFonts w:ascii="Arial" w:eastAsia="Arial Unicode MS" w:hAnsi="Arial" w:cs="Arial"/>
                <w:i/>
                <w:iCs/>
              </w:rPr>
              <w:t xml:space="preserve"> </w:t>
            </w:r>
            <w:r w:rsidRPr="00DE299A">
              <w:rPr>
                <w:rFonts w:ascii="Arial" w:eastAsia="Arial Unicode MS" w:hAnsi="Arial" w:cs="Arial"/>
              </w:rPr>
              <w:t>= 5,0x10</w:t>
            </w:r>
            <w:r w:rsidRPr="00DE299A">
              <w:rPr>
                <w:rFonts w:ascii="Arial" w:eastAsia="Arial Unicode MS" w:hAnsi="Arial" w:cs="Arial"/>
                <w:vertAlign w:val="superscript"/>
              </w:rPr>
              <w:t>-1</w:t>
            </w:r>
            <w:r w:rsidRPr="00DE299A">
              <w:rPr>
                <w:rFonts w:ascii="Arial" w:eastAsia="Arial Unicode MS" w:hAnsi="Arial" w:cs="Arial"/>
              </w:rPr>
              <w:t xml:space="preserve"> mol.L</w:t>
            </w:r>
            <w:r w:rsidRPr="00DE299A">
              <w:rPr>
                <w:rFonts w:ascii="Arial" w:eastAsia="Arial Unicode MS" w:hAnsi="Arial" w:cs="Arial"/>
                <w:vertAlign w:val="superscript"/>
              </w:rPr>
              <w:t>-1</w:t>
            </w:r>
            <w:r w:rsidRPr="00DE299A">
              <w:rPr>
                <w:rFonts w:ascii="Arial" w:eastAsia="Arial Unicode MS" w:hAnsi="Arial" w:cs="Arial"/>
              </w:rPr>
              <w:t xml:space="preserve">. </w:t>
            </w:r>
          </w:p>
          <w:p w14:paraId="420C1D94" w14:textId="77777777" w:rsidR="00DE299A" w:rsidRPr="00DE299A" w:rsidRDefault="00DE299A" w:rsidP="00DE299A">
            <w:pPr>
              <w:spacing w:after="0" w:line="240" w:lineRule="auto"/>
              <w:ind w:left="567"/>
              <w:rPr>
                <w:rFonts w:ascii="Arial" w:eastAsia="Arial Unicode MS" w:hAnsi="Arial" w:cs="Arial"/>
              </w:rPr>
            </w:pPr>
          </w:p>
        </w:tc>
        <w:tc>
          <w:tcPr>
            <w:tcW w:w="5636" w:type="dxa"/>
          </w:tcPr>
          <w:p w14:paraId="65D7940D" w14:textId="77777777" w:rsidR="00DE299A" w:rsidRPr="00DE299A" w:rsidRDefault="00DE299A" w:rsidP="00DE299A">
            <w:pPr>
              <w:spacing w:after="0" w:line="240" w:lineRule="auto"/>
              <w:ind w:left="175"/>
              <w:rPr>
                <w:rFonts w:ascii="Arial" w:eastAsia="Arial Unicode MS" w:hAnsi="Arial" w:cs="Arial"/>
              </w:rPr>
            </w:pPr>
            <w:r w:rsidRPr="00DE299A">
              <w:rPr>
                <w:noProof/>
              </w:rPr>
              <w:drawing>
                <wp:inline distT="0" distB="0" distL="0" distR="0" wp14:anchorId="5B9454E2" wp14:editId="789602F4">
                  <wp:extent cx="2894274" cy="1628567"/>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924641" cy="1645654"/>
                          </a:xfrm>
                          <a:prstGeom prst="rect">
                            <a:avLst/>
                          </a:prstGeom>
                          <a:noFill/>
                          <a:ln>
                            <a:noFill/>
                          </a:ln>
                        </pic:spPr>
                      </pic:pic>
                    </a:graphicData>
                  </a:graphic>
                </wp:inline>
              </w:drawing>
            </w:r>
          </w:p>
        </w:tc>
      </w:tr>
    </w:tbl>
    <w:p w14:paraId="2D238C8C" w14:textId="77777777" w:rsidR="00DE299A" w:rsidRPr="00DE299A" w:rsidRDefault="00DE299A" w:rsidP="00DE299A">
      <w:pPr>
        <w:spacing w:after="0" w:line="240" w:lineRule="auto"/>
        <w:ind w:left="567"/>
        <w:rPr>
          <w:rFonts w:eastAsia="Arial Unicode MS" w:cs="Arial"/>
          <w:b/>
          <w:u w:val="single"/>
          <w:shd w:val="clear" w:color="auto" w:fill="FFFFFF"/>
          <w:lang w:eastAsia="en-US"/>
        </w:rPr>
      </w:pPr>
    </w:p>
    <w:p w14:paraId="47D38FF4" w14:textId="77777777" w:rsidR="00DE299A" w:rsidRPr="00DE299A" w:rsidRDefault="00DE299A" w:rsidP="00313926">
      <w:pPr>
        <w:spacing w:after="0" w:line="240" w:lineRule="auto"/>
        <w:ind w:left="0"/>
        <w:jc w:val="both"/>
        <w:rPr>
          <w:rFonts w:eastAsia="Arial Unicode MS" w:cs="Arial"/>
        </w:rPr>
      </w:pPr>
      <w:r w:rsidRPr="00DE299A">
        <w:rPr>
          <w:rFonts w:eastAsia="Arial Unicode MS" w:cs="Arial"/>
        </w:rPr>
        <w:t>En réalisant l’expérience à 20 °C, on recueille, par déplacement d’eau, un gaz que l’on peut identifier à du dihydrogène dont on relève à intervalle de temps réguliers le volume dégagé et l’on obtient le graphique représenté ci-après.</w:t>
      </w:r>
    </w:p>
    <w:p w14:paraId="1A466D38" w14:textId="77777777" w:rsidR="00DE299A" w:rsidRPr="00DE299A" w:rsidRDefault="00DE299A" w:rsidP="00DE299A">
      <w:pPr>
        <w:spacing w:after="0" w:line="240" w:lineRule="auto"/>
        <w:ind w:left="567"/>
        <w:rPr>
          <w:rFonts w:eastAsia="Arial Unicode MS" w:cs="Arial"/>
        </w:rPr>
      </w:pPr>
    </w:p>
    <w:p w14:paraId="059F9E7E" w14:textId="39C185A0" w:rsidR="00DE299A" w:rsidRPr="00DE299A" w:rsidRDefault="00DE299A" w:rsidP="00313926">
      <w:pPr>
        <w:spacing w:after="0" w:line="240" w:lineRule="auto"/>
        <w:ind w:left="0"/>
        <w:jc w:val="both"/>
        <w:rPr>
          <w:rFonts w:eastAsia="Arial Unicode MS" w:cs="Arial"/>
        </w:rPr>
      </w:pPr>
      <w:r w:rsidRPr="00DE299A">
        <w:rPr>
          <w:rFonts w:eastAsia="Arial Unicode MS" w:cs="Arial"/>
        </w:rPr>
        <w:t xml:space="preserve">L’équation de la réaction modélisant la transformation chimique s’écrit : </w:t>
      </w:r>
    </w:p>
    <w:p w14:paraId="4833C89B" w14:textId="16E3CD61" w:rsidR="0033762F" w:rsidRDefault="00DE299A" w:rsidP="00F874D4">
      <w:pPr>
        <w:spacing w:after="0" w:line="240" w:lineRule="auto"/>
        <w:ind w:left="567"/>
        <w:jc w:val="center"/>
        <w:rPr>
          <w:rFonts w:eastAsia="Arial Unicode MS" w:cs="Arial"/>
          <w:bCs/>
          <w:vertAlign w:val="subscript"/>
          <w:lang w:val="en-US"/>
        </w:rPr>
      </w:pPr>
      <w:r w:rsidRPr="00DE299A">
        <w:rPr>
          <w:rFonts w:eastAsia="Arial Unicode MS" w:cs="Arial"/>
          <w:bCs/>
          <w:lang w:val="en-US"/>
        </w:rPr>
        <w:t>Mg</w:t>
      </w:r>
      <w:r w:rsidRPr="00DE299A">
        <w:rPr>
          <w:rFonts w:eastAsia="Arial Unicode MS" w:cs="Arial"/>
          <w:bCs/>
          <w:vertAlign w:val="subscript"/>
          <w:lang w:val="en-US"/>
        </w:rPr>
        <w:t>(</w:t>
      </w:r>
      <w:proofErr w:type="gramStart"/>
      <w:r w:rsidRPr="00DE299A">
        <w:rPr>
          <w:rFonts w:eastAsia="Arial Unicode MS" w:cs="Arial"/>
          <w:bCs/>
          <w:vertAlign w:val="subscript"/>
          <w:lang w:val="en-US"/>
        </w:rPr>
        <w:t>s)</w:t>
      </w:r>
      <w:r w:rsidRPr="00DE299A">
        <w:rPr>
          <w:rFonts w:eastAsia="Arial Unicode MS" w:cs="Arial"/>
          <w:bCs/>
          <w:lang w:val="en-US"/>
        </w:rPr>
        <w:t xml:space="preserve">  +</w:t>
      </w:r>
      <w:proofErr w:type="gramEnd"/>
      <w:r w:rsidRPr="00DE299A">
        <w:rPr>
          <w:rFonts w:eastAsia="Arial Unicode MS" w:cs="Arial"/>
          <w:bCs/>
          <w:lang w:val="en-US"/>
        </w:rPr>
        <w:t xml:space="preserve">  2  H</w:t>
      </w:r>
      <w:r w:rsidRPr="00DE299A">
        <w:rPr>
          <w:rFonts w:eastAsia="Arial Unicode MS" w:cs="Arial"/>
          <w:bCs/>
          <w:vertAlign w:val="superscript"/>
          <w:lang w:val="en-US"/>
        </w:rPr>
        <w:t>+</w:t>
      </w:r>
      <w:r w:rsidRPr="00DE299A">
        <w:rPr>
          <w:rFonts w:eastAsia="Arial Unicode MS" w:cs="Arial"/>
          <w:bCs/>
          <w:vertAlign w:val="subscript"/>
          <w:lang w:val="en-US"/>
        </w:rPr>
        <w:t>(</w:t>
      </w:r>
      <w:proofErr w:type="spellStart"/>
      <w:r w:rsidRPr="00DE299A">
        <w:rPr>
          <w:rFonts w:eastAsia="Arial Unicode MS" w:cs="Arial"/>
          <w:bCs/>
          <w:vertAlign w:val="subscript"/>
          <w:lang w:val="en-US"/>
        </w:rPr>
        <w:t>aq</w:t>
      </w:r>
      <w:proofErr w:type="spellEnd"/>
      <w:r w:rsidRPr="00DE299A">
        <w:rPr>
          <w:rFonts w:eastAsia="Arial Unicode MS" w:cs="Arial"/>
          <w:bCs/>
          <w:vertAlign w:val="subscript"/>
          <w:lang w:val="en-US"/>
        </w:rPr>
        <w:t xml:space="preserve">) </w:t>
      </w:r>
      <w:r w:rsidRPr="00DE299A">
        <w:rPr>
          <w:rFonts w:eastAsia="Arial Unicode MS" w:cs="Arial"/>
          <w:bCs/>
          <w:lang w:val="en-US"/>
        </w:rPr>
        <w:t>→ Mg</w:t>
      </w:r>
      <w:r w:rsidRPr="00DE299A">
        <w:rPr>
          <w:rFonts w:eastAsia="Arial Unicode MS" w:cs="Arial"/>
          <w:bCs/>
          <w:vertAlign w:val="superscript"/>
          <w:lang w:val="en-US"/>
        </w:rPr>
        <w:t>2+</w:t>
      </w:r>
      <w:r w:rsidRPr="00DE299A">
        <w:rPr>
          <w:rFonts w:eastAsia="Arial Unicode MS" w:cs="Arial"/>
          <w:bCs/>
          <w:vertAlign w:val="subscript"/>
          <w:lang w:val="en-US"/>
        </w:rPr>
        <w:t>(</w:t>
      </w:r>
      <w:proofErr w:type="spellStart"/>
      <w:r w:rsidRPr="00DE299A">
        <w:rPr>
          <w:rFonts w:eastAsia="Arial Unicode MS" w:cs="Arial"/>
          <w:bCs/>
          <w:vertAlign w:val="subscript"/>
          <w:lang w:val="en-US"/>
        </w:rPr>
        <w:t>aq</w:t>
      </w:r>
      <w:proofErr w:type="spellEnd"/>
      <w:r w:rsidRPr="00DE299A">
        <w:rPr>
          <w:rFonts w:eastAsia="Arial Unicode MS" w:cs="Arial"/>
          <w:bCs/>
          <w:vertAlign w:val="subscript"/>
          <w:lang w:val="en-US"/>
        </w:rPr>
        <w:t xml:space="preserve">)  </w:t>
      </w:r>
      <w:r w:rsidRPr="00DE299A">
        <w:rPr>
          <w:rFonts w:eastAsia="Arial Unicode MS" w:cs="Arial"/>
          <w:bCs/>
          <w:lang w:val="en-US"/>
        </w:rPr>
        <w:t>+  H</w:t>
      </w:r>
      <w:r w:rsidRPr="00DE299A">
        <w:rPr>
          <w:rFonts w:eastAsia="Arial Unicode MS" w:cs="Arial"/>
          <w:bCs/>
          <w:vertAlign w:val="subscript"/>
          <w:lang w:val="en-US"/>
        </w:rPr>
        <w:t>2(g)</w:t>
      </w:r>
    </w:p>
    <w:p w14:paraId="3C4ACF44" w14:textId="77777777" w:rsidR="0033762F" w:rsidRDefault="0033762F">
      <w:pPr>
        <w:spacing w:after="0" w:line="240" w:lineRule="auto"/>
        <w:ind w:left="0"/>
        <w:rPr>
          <w:rFonts w:eastAsia="Arial Unicode MS" w:cs="Arial"/>
          <w:bCs/>
          <w:vertAlign w:val="subscript"/>
          <w:lang w:val="en-US"/>
        </w:rPr>
      </w:pPr>
      <w:r>
        <w:rPr>
          <w:rFonts w:eastAsia="Arial Unicode MS" w:cs="Arial"/>
          <w:bCs/>
          <w:vertAlign w:val="subscript"/>
          <w:lang w:val="en-US"/>
        </w:rPr>
        <w:br w:type="page"/>
      </w:r>
    </w:p>
    <w:p w14:paraId="5B16DB31" w14:textId="77777777" w:rsidR="00DE299A" w:rsidRPr="00DE299A" w:rsidRDefault="00DE299A" w:rsidP="00F874D4">
      <w:pPr>
        <w:spacing w:after="0" w:line="240" w:lineRule="auto"/>
        <w:ind w:left="567"/>
        <w:jc w:val="center"/>
        <w:rPr>
          <w:rFonts w:eastAsia="Arial Unicode MS" w:cs="Arial"/>
          <w:lang w:val="en-US"/>
        </w:rPr>
      </w:pPr>
    </w:p>
    <w:p w14:paraId="3422D853" w14:textId="77777777" w:rsidR="00DE299A" w:rsidRPr="00DE299A" w:rsidRDefault="00DE299A" w:rsidP="00DE299A">
      <w:pPr>
        <w:spacing w:after="0" w:line="240" w:lineRule="auto"/>
        <w:ind w:left="567"/>
        <w:jc w:val="center"/>
        <w:rPr>
          <w:rFonts w:eastAsiaTheme="minorHAnsi" w:cs="Arial"/>
          <w:b/>
          <w:lang w:val="en-US" w:eastAsia="en-US"/>
        </w:rPr>
      </w:pPr>
      <w:r w:rsidRPr="00DE299A">
        <w:rPr>
          <w:rFonts w:eastAsiaTheme="minorHAnsi" w:cs="Arial"/>
          <w:b/>
          <w:noProof/>
        </w:rPr>
        <w:drawing>
          <wp:inline distT="0" distB="0" distL="0" distR="0" wp14:anchorId="002F19D4" wp14:editId="6188FCEB">
            <wp:extent cx="3789892" cy="2485926"/>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29448" cy="2511872"/>
                    </a:xfrm>
                    <a:prstGeom prst="rect">
                      <a:avLst/>
                    </a:prstGeom>
                    <a:noFill/>
                    <a:ln>
                      <a:noFill/>
                    </a:ln>
                  </pic:spPr>
                </pic:pic>
              </a:graphicData>
            </a:graphic>
          </wp:inline>
        </w:drawing>
      </w:r>
    </w:p>
    <w:p w14:paraId="04626694" w14:textId="5F5BA932" w:rsidR="00DE299A" w:rsidRPr="00DE299A" w:rsidRDefault="00DE299A" w:rsidP="00F874D4">
      <w:pPr>
        <w:spacing w:after="0" w:line="240" w:lineRule="auto"/>
        <w:ind w:left="567"/>
        <w:rPr>
          <w:rFonts w:eastAsia="Arial Unicode MS" w:cs="Arial"/>
          <w:b/>
          <w:shd w:val="clear" w:color="auto" w:fill="FFFFFF"/>
          <w:lang w:eastAsia="en-US"/>
        </w:rPr>
      </w:pPr>
      <w:r w:rsidRPr="00DE299A">
        <w:rPr>
          <w:rFonts w:eastAsia="Arial Unicode MS" w:cs="Arial"/>
          <w:b/>
          <w:shd w:val="clear" w:color="auto" w:fill="FFFFFF"/>
          <w:lang w:eastAsia="en-US"/>
        </w:rPr>
        <w:t xml:space="preserve">Données  </w:t>
      </w:r>
    </w:p>
    <w:p w14:paraId="4E05FBC1" w14:textId="77777777" w:rsidR="00DE299A" w:rsidRPr="00DE299A" w:rsidRDefault="00DE299A" w:rsidP="00313926">
      <w:pPr>
        <w:numPr>
          <w:ilvl w:val="0"/>
          <w:numId w:val="11"/>
        </w:numPr>
        <w:spacing w:after="0" w:line="240" w:lineRule="auto"/>
        <w:contextualSpacing/>
        <w:jc w:val="both"/>
        <w:rPr>
          <w:rFonts w:eastAsia="Arial Unicode MS" w:cs="Arial"/>
          <w:lang w:eastAsia="en-US"/>
        </w:rPr>
      </w:pPr>
      <w:r w:rsidRPr="00DE299A">
        <w:rPr>
          <w:rFonts w:eastAsia="Arial Unicode MS" w:cs="Arial"/>
          <w:lang w:eastAsia="en-US"/>
        </w:rPr>
        <w:t>Volume molaire des gaz dans les conditions de l’expérience</w:t>
      </w:r>
      <w:proofErr w:type="gramStart"/>
      <w:r w:rsidRPr="00DE299A">
        <w:rPr>
          <w:rFonts w:eastAsia="Arial Unicode MS" w:cs="Arial"/>
          <w:lang w:eastAsia="en-US"/>
        </w:rPr>
        <w:t> :</w:t>
      </w:r>
      <w:proofErr w:type="spellStart"/>
      <w:r w:rsidRPr="00DE299A">
        <w:rPr>
          <w:rFonts w:eastAsia="Arial Unicode MS" w:cs="Arial"/>
          <w:i/>
          <w:iCs/>
          <w:lang w:eastAsia="en-US"/>
        </w:rPr>
        <w:t>V</w:t>
      </w:r>
      <w:r w:rsidRPr="00DE299A">
        <w:rPr>
          <w:rFonts w:eastAsia="Arial Unicode MS" w:cs="Arial"/>
          <w:i/>
          <w:iCs/>
          <w:vertAlign w:val="subscript"/>
          <w:lang w:eastAsia="en-US"/>
        </w:rPr>
        <w:t>m</w:t>
      </w:r>
      <w:proofErr w:type="spellEnd"/>
      <w:proofErr w:type="gramEnd"/>
      <w:r w:rsidRPr="00DE299A">
        <w:rPr>
          <w:rFonts w:eastAsia="Arial Unicode MS" w:cs="Arial"/>
          <w:i/>
          <w:iCs/>
          <w:vertAlign w:val="subscript"/>
          <w:lang w:eastAsia="en-US"/>
        </w:rPr>
        <w:t xml:space="preserve"> </w:t>
      </w:r>
      <w:r w:rsidRPr="00DE299A">
        <w:rPr>
          <w:rFonts w:eastAsia="Arial Unicode MS" w:cs="Arial"/>
          <w:lang w:eastAsia="en-US"/>
        </w:rPr>
        <w:t>= 24,0 L.mol</w:t>
      </w:r>
      <w:r w:rsidRPr="00DE299A">
        <w:rPr>
          <w:rFonts w:eastAsia="Arial Unicode MS" w:cs="Arial"/>
          <w:vertAlign w:val="superscript"/>
          <w:lang w:eastAsia="en-US"/>
        </w:rPr>
        <w:t>-1</w:t>
      </w:r>
      <w:r w:rsidRPr="00DE299A">
        <w:rPr>
          <w:rFonts w:eastAsia="Arial Unicode MS" w:cs="Arial"/>
          <w:lang w:eastAsia="en-US"/>
        </w:rPr>
        <w:t>.</w:t>
      </w:r>
    </w:p>
    <w:p w14:paraId="5697F999" w14:textId="77777777" w:rsidR="00DE299A" w:rsidRPr="00DE299A" w:rsidRDefault="00DE299A" w:rsidP="00313926">
      <w:pPr>
        <w:numPr>
          <w:ilvl w:val="0"/>
          <w:numId w:val="11"/>
        </w:numPr>
        <w:spacing w:after="0" w:line="240" w:lineRule="auto"/>
        <w:contextualSpacing/>
        <w:jc w:val="both"/>
        <w:rPr>
          <w:rFonts w:eastAsia="Arial Unicode MS" w:cs="Arial"/>
          <w:lang w:eastAsia="en-US"/>
        </w:rPr>
      </w:pPr>
      <w:r w:rsidRPr="00DE299A">
        <w:rPr>
          <w:rFonts w:eastAsia="Arial Unicode MS" w:cs="Arial"/>
          <w:lang w:eastAsia="en-US"/>
        </w:rPr>
        <w:t xml:space="preserve">Couples oxydant-réducteur : </w:t>
      </w:r>
      <w:r w:rsidRPr="00DE299A">
        <w:rPr>
          <w:rFonts w:eastAsia="Arial Unicode MS" w:cs="Arial"/>
          <w:bCs/>
        </w:rPr>
        <w:t>Mg</w:t>
      </w:r>
      <w:r w:rsidRPr="00DE299A">
        <w:rPr>
          <w:rFonts w:eastAsia="Arial Unicode MS" w:cs="Arial"/>
          <w:vertAlign w:val="superscript"/>
        </w:rPr>
        <w:t>2+</w:t>
      </w:r>
      <w:r w:rsidRPr="00DE299A">
        <w:rPr>
          <w:rFonts w:eastAsia="Arial Unicode MS" w:cs="Arial"/>
          <w:vertAlign w:val="subscript"/>
        </w:rPr>
        <w:t>(</w:t>
      </w:r>
      <w:proofErr w:type="spellStart"/>
      <w:r w:rsidRPr="00DE299A">
        <w:rPr>
          <w:rFonts w:eastAsia="Arial Unicode MS" w:cs="Arial"/>
          <w:vertAlign w:val="subscript"/>
        </w:rPr>
        <w:t>aq</w:t>
      </w:r>
      <w:proofErr w:type="spellEnd"/>
      <w:r w:rsidRPr="00DE299A">
        <w:rPr>
          <w:rFonts w:eastAsia="Arial Unicode MS" w:cs="Arial"/>
          <w:vertAlign w:val="subscript"/>
        </w:rPr>
        <w:t>)</w:t>
      </w:r>
      <w:r w:rsidRPr="00DE299A">
        <w:rPr>
          <w:rFonts w:eastAsia="Arial Unicode MS" w:cs="Arial"/>
          <w:vertAlign w:val="superscript"/>
        </w:rPr>
        <w:t xml:space="preserve"> </w:t>
      </w:r>
      <w:r w:rsidRPr="00DE299A">
        <w:rPr>
          <w:rFonts w:eastAsia="Arial Unicode MS" w:cs="Arial"/>
        </w:rPr>
        <w:t>/</w:t>
      </w:r>
      <w:r w:rsidRPr="00DE299A">
        <w:rPr>
          <w:rFonts w:eastAsia="Arial Unicode MS" w:cs="Arial"/>
          <w:bCs/>
        </w:rPr>
        <w:t>Mg</w:t>
      </w:r>
      <w:r w:rsidRPr="00DE299A">
        <w:rPr>
          <w:rFonts w:eastAsia="Arial Unicode MS" w:cs="Arial"/>
          <w:bCs/>
          <w:vertAlign w:val="subscript"/>
        </w:rPr>
        <w:t>(s)</w:t>
      </w:r>
      <w:r w:rsidRPr="00DE299A">
        <w:rPr>
          <w:rFonts w:eastAsia="Arial Unicode MS" w:cs="Arial"/>
          <w:bCs/>
        </w:rPr>
        <w:t xml:space="preserve"> </w:t>
      </w:r>
      <w:r w:rsidRPr="00DE299A">
        <w:rPr>
          <w:rFonts w:eastAsia="Arial Unicode MS" w:cs="Arial"/>
        </w:rPr>
        <w:t>et H</w:t>
      </w:r>
      <w:r w:rsidRPr="00DE299A">
        <w:rPr>
          <w:rFonts w:eastAsia="Arial Unicode MS" w:cs="Arial"/>
          <w:vertAlign w:val="superscript"/>
        </w:rPr>
        <w:t>+</w:t>
      </w:r>
      <w:r w:rsidRPr="00DE299A">
        <w:rPr>
          <w:rFonts w:eastAsia="Arial Unicode MS" w:cs="Arial"/>
          <w:vertAlign w:val="subscript"/>
        </w:rPr>
        <w:t>(</w:t>
      </w:r>
      <w:proofErr w:type="spellStart"/>
      <w:proofErr w:type="gramStart"/>
      <w:r w:rsidRPr="00DE299A">
        <w:rPr>
          <w:rFonts w:eastAsia="Arial Unicode MS" w:cs="Arial"/>
          <w:vertAlign w:val="subscript"/>
        </w:rPr>
        <w:t>aq</w:t>
      </w:r>
      <w:proofErr w:type="spellEnd"/>
      <w:r w:rsidRPr="00DE299A">
        <w:rPr>
          <w:rFonts w:eastAsia="Arial Unicode MS" w:cs="Arial"/>
          <w:vertAlign w:val="subscript"/>
        </w:rPr>
        <w:t>)</w:t>
      </w:r>
      <w:r w:rsidRPr="00DE299A">
        <w:rPr>
          <w:rFonts w:eastAsia="Arial Unicode MS" w:cs="Arial"/>
        </w:rPr>
        <w:t>/</w:t>
      </w:r>
      <w:proofErr w:type="gramEnd"/>
      <w:r w:rsidRPr="00DE299A">
        <w:rPr>
          <w:rFonts w:eastAsia="Arial Unicode MS" w:cs="Arial"/>
        </w:rPr>
        <w:t>H</w:t>
      </w:r>
      <w:r w:rsidRPr="00DE299A">
        <w:rPr>
          <w:rFonts w:eastAsia="Arial Unicode MS" w:cs="Arial"/>
          <w:vertAlign w:val="subscript"/>
        </w:rPr>
        <w:t>2 (g)</w:t>
      </w:r>
    </w:p>
    <w:p w14:paraId="1F4F3E4C" w14:textId="77777777" w:rsidR="00DE299A" w:rsidRPr="00DE299A" w:rsidRDefault="00DE299A" w:rsidP="00313926">
      <w:pPr>
        <w:numPr>
          <w:ilvl w:val="0"/>
          <w:numId w:val="11"/>
        </w:numPr>
        <w:spacing w:after="0" w:line="240" w:lineRule="auto"/>
        <w:contextualSpacing/>
        <w:jc w:val="both"/>
        <w:rPr>
          <w:rFonts w:eastAsia="Arial Unicode MS" w:cs="Arial"/>
          <w:lang w:eastAsia="en-US"/>
        </w:rPr>
      </w:pPr>
      <w:r w:rsidRPr="00DE299A">
        <w:rPr>
          <w:rFonts w:eastAsia="Arial Unicode MS" w:cs="Arial"/>
          <w:lang w:eastAsia="en-US"/>
        </w:rPr>
        <w:t>Masse molaire atomique du magnésium :</w:t>
      </w:r>
      <w:r w:rsidRPr="00DE299A">
        <w:rPr>
          <w:rFonts w:eastAsia="Arial Unicode MS" w:cs="Arial"/>
          <w:i/>
          <w:lang w:eastAsia="en-US"/>
        </w:rPr>
        <w:t xml:space="preserve"> M</w:t>
      </w:r>
      <w:r w:rsidRPr="00DE299A">
        <w:rPr>
          <w:rFonts w:eastAsia="Arial Unicode MS" w:cs="Arial"/>
          <w:lang w:eastAsia="en-US"/>
        </w:rPr>
        <w:t xml:space="preserve">(Mg) = 24,3 </w:t>
      </w:r>
      <w:proofErr w:type="spellStart"/>
      <w:r w:rsidRPr="00DE299A">
        <w:rPr>
          <w:rFonts w:eastAsia="Arial Unicode MS" w:cs="Arial"/>
          <w:lang w:eastAsia="en-US"/>
        </w:rPr>
        <w:t>g.mol</w:t>
      </w:r>
      <w:proofErr w:type="spellEnd"/>
      <w:r w:rsidRPr="00DE299A">
        <w:rPr>
          <w:rFonts w:eastAsia="Arial Unicode MS" w:cs="Arial"/>
          <w:vertAlign w:val="superscript"/>
          <w:lang w:eastAsia="en-US"/>
        </w:rPr>
        <w:t>–1</w:t>
      </w:r>
    </w:p>
    <w:p w14:paraId="3E15A9AC" w14:textId="77777777" w:rsidR="00DE299A" w:rsidRPr="00DE299A" w:rsidRDefault="00DE299A" w:rsidP="00DE299A">
      <w:pPr>
        <w:numPr>
          <w:ilvl w:val="0"/>
          <w:numId w:val="11"/>
        </w:numPr>
        <w:spacing w:after="0" w:line="240" w:lineRule="auto"/>
        <w:contextualSpacing/>
        <w:rPr>
          <w:rFonts w:eastAsia="Arial Unicode MS" w:cs="Arial"/>
          <w:lang w:eastAsia="en-US"/>
        </w:rPr>
      </w:pPr>
      <w:r w:rsidRPr="00DE299A">
        <w:rPr>
          <w:rFonts w:eastAsia="Arial Unicode MS" w:cs="Arial"/>
          <w:lang w:eastAsia="en-US"/>
        </w:rPr>
        <w:t>Pictogrammes de sécurité :</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2693"/>
        <w:gridCol w:w="2798"/>
      </w:tblGrid>
      <w:tr w:rsidR="00DE299A" w:rsidRPr="00DE299A" w14:paraId="197ABDA7" w14:textId="77777777" w:rsidTr="000A4FD6">
        <w:trPr>
          <w:trHeight w:val="128"/>
          <w:jc w:val="center"/>
        </w:trPr>
        <w:tc>
          <w:tcPr>
            <w:tcW w:w="2941" w:type="dxa"/>
            <w:tcBorders>
              <w:bottom w:val="nil"/>
            </w:tcBorders>
            <w:shd w:val="clear" w:color="auto" w:fill="auto"/>
          </w:tcPr>
          <w:p w14:paraId="601B10F0" w14:textId="77777777" w:rsidR="00DE299A" w:rsidRPr="00DE299A" w:rsidRDefault="00DE299A" w:rsidP="00DE299A">
            <w:pPr>
              <w:autoSpaceDE w:val="0"/>
              <w:autoSpaceDN w:val="0"/>
              <w:adjustRightInd w:val="0"/>
              <w:spacing w:after="0" w:line="240" w:lineRule="auto"/>
              <w:ind w:left="-2"/>
              <w:jc w:val="center"/>
              <w:rPr>
                <w:rFonts w:eastAsia="Times New Roman" w:cs="Arial"/>
                <w:bCs/>
              </w:rPr>
            </w:pPr>
            <w:r w:rsidRPr="00DE299A">
              <w:rPr>
                <w:rFonts w:eastAsia="Times New Roman" w:cs="Arial"/>
                <w:bCs/>
              </w:rPr>
              <w:t>Magnésium en ruban</w:t>
            </w:r>
          </w:p>
        </w:tc>
        <w:tc>
          <w:tcPr>
            <w:tcW w:w="2693" w:type="dxa"/>
            <w:tcBorders>
              <w:bottom w:val="nil"/>
            </w:tcBorders>
            <w:shd w:val="clear" w:color="auto" w:fill="auto"/>
          </w:tcPr>
          <w:p w14:paraId="09659EC8" w14:textId="77777777" w:rsidR="00DE299A" w:rsidRPr="00DE299A" w:rsidRDefault="00DE299A" w:rsidP="00DE299A">
            <w:pPr>
              <w:autoSpaceDE w:val="0"/>
              <w:autoSpaceDN w:val="0"/>
              <w:adjustRightInd w:val="0"/>
              <w:spacing w:after="0" w:line="240" w:lineRule="auto"/>
              <w:ind w:left="33"/>
              <w:jc w:val="center"/>
              <w:rPr>
                <w:rFonts w:eastAsia="Times New Roman" w:cs="Arial"/>
                <w:bCs/>
              </w:rPr>
            </w:pPr>
            <w:r w:rsidRPr="00DE299A">
              <w:rPr>
                <w:rFonts w:eastAsia="Times New Roman" w:cs="Arial"/>
                <w:bCs/>
              </w:rPr>
              <w:t>Acide chlorhydrique</w:t>
            </w:r>
          </w:p>
        </w:tc>
        <w:tc>
          <w:tcPr>
            <w:tcW w:w="2798" w:type="dxa"/>
            <w:tcBorders>
              <w:bottom w:val="nil"/>
            </w:tcBorders>
          </w:tcPr>
          <w:p w14:paraId="1A891F19" w14:textId="77777777" w:rsidR="00DE299A" w:rsidRPr="00DE299A" w:rsidRDefault="00DE299A" w:rsidP="00DE299A">
            <w:pPr>
              <w:autoSpaceDE w:val="0"/>
              <w:autoSpaceDN w:val="0"/>
              <w:adjustRightInd w:val="0"/>
              <w:spacing w:after="0" w:line="240" w:lineRule="auto"/>
              <w:ind w:left="34"/>
              <w:jc w:val="center"/>
              <w:rPr>
                <w:rFonts w:eastAsia="Times New Roman" w:cs="Arial"/>
                <w:bCs/>
              </w:rPr>
            </w:pPr>
            <w:r w:rsidRPr="00DE299A">
              <w:rPr>
                <w:rFonts w:eastAsia="Times New Roman" w:cs="Arial"/>
                <w:bCs/>
              </w:rPr>
              <w:t>Dihydrogène</w:t>
            </w:r>
          </w:p>
        </w:tc>
      </w:tr>
      <w:tr w:rsidR="00DE299A" w:rsidRPr="00DE299A" w14:paraId="79C9ED4B" w14:textId="77777777" w:rsidTr="000A4FD6">
        <w:trPr>
          <w:trHeight w:val="1142"/>
          <w:jc w:val="center"/>
        </w:trPr>
        <w:tc>
          <w:tcPr>
            <w:tcW w:w="2941" w:type="dxa"/>
            <w:tcBorders>
              <w:top w:val="nil"/>
            </w:tcBorders>
            <w:shd w:val="clear" w:color="auto" w:fill="auto"/>
          </w:tcPr>
          <w:p w14:paraId="14CA72A8" w14:textId="77777777" w:rsidR="00DE299A" w:rsidRPr="00DE299A" w:rsidRDefault="00DE299A" w:rsidP="00DE299A">
            <w:pPr>
              <w:spacing w:after="0" w:line="240" w:lineRule="auto"/>
              <w:ind w:left="567"/>
              <w:jc w:val="center"/>
              <w:rPr>
                <w:rFonts w:eastAsia="Times New Roman" w:cs="Arial"/>
              </w:rPr>
            </w:pPr>
            <w:r w:rsidRPr="00DE299A">
              <w:rPr>
                <w:rFonts w:eastAsia="Times New Roman" w:cs="Arial"/>
                <w:noProof/>
              </w:rPr>
              <w:drawing>
                <wp:inline distT="0" distB="0" distL="0" distR="0" wp14:anchorId="27755634" wp14:editId="5B78DE62">
                  <wp:extent cx="702733" cy="688819"/>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7824" cy="693809"/>
                          </a:xfrm>
                          <a:prstGeom prst="rect">
                            <a:avLst/>
                          </a:prstGeom>
                        </pic:spPr>
                      </pic:pic>
                    </a:graphicData>
                  </a:graphic>
                </wp:inline>
              </w:drawing>
            </w:r>
          </w:p>
        </w:tc>
        <w:tc>
          <w:tcPr>
            <w:tcW w:w="2693" w:type="dxa"/>
            <w:tcBorders>
              <w:top w:val="nil"/>
            </w:tcBorders>
            <w:shd w:val="clear" w:color="auto" w:fill="auto"/>
          </w:tcPr>
          <w:p w14:paraId="359D5958" w14:textId="77777777" w:rsidR="00DE299A" w:rsidRPr="00DE299A" w:rsidRDefault="00DE299A" w:rsidP="00DE299A">
            <w:pPr>
              <w:autoSpaceDE w:val="0"/>
              <w:autoSpaceDN w:val="0"/>
              <w:adjustRightInd w:val="0"/>
              <w:spacing w:after="0" w:line="240" w:lineRule="auto"/>
              <w:ind w:left="567"/>
              <w:jc w:val="center"/>
              <w:rPr>
                <w:rFonts w:eastAsia="Times New Roman" w:cs="Arial"/>
              </w:rPr>
            </w:pPr>
            <w:r w:rsidRPr="00DE299A">
              <w:rPr>
                <w:rFonts w:eastAsia="Times New Roman" w:cs="Arial"/>
                <w:b/>
                <w:noProof/>
              </w:rPr>
              <w:drawing>
                <wp:inline distT="0" distB="0" distL="0" distR="0" wp14:anchorId="46F8391B" wp14:editId="3BB3A30A">
                  <wp:extent cx="699812" cy="688340"/>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99854" cy="688381"/>
                          </a:xfrm>
                          <a:prstGeom prst="rect">
                            <a:avLst/>
                          </a:prstGeom>
                        </pic:spPr>
                      </pic:pic>
                    </a:graphicData>
                  </a:graphic>
                </wp:inline>
              </w:drawing>
            </w:r>
          </w:p>
        </w:tc>
        <w:tc>
          <w:tcPr>
            <w:tcW w:w="2798" w:type="dxa"/>
            <w:tcBorders>
              <w:top w:val="nil"/>
            </w:tcBorders>
          </w:tcPr>
          <w:p w14:paraId="7079554A" w14:textId="77777777" w:rsidR="00DE299A" w:rsidRPr="00DE299A" w:rsidRDefault="00DE299A" w:rsidP="00DE299A">
            <w:pPr>
              <w:autoSpaceDE w:val="0"/>
              <w:autoSpaceDN w:val="0"/>
              <w:adjustRightInd w:val="0"/>
              <w:spacing w:after="0" w:line="240" w:lineRule="auto"/>
              <w:ind w:left="176"/>
              <w:jc w:val="center"/>
              <w:rPr>
                <w:rFonts w:eastAsia="Times New Roman" w:cs="Arial"/>
                <w:b/>
                <w:noProof/>
                <w:lang w:eastAsia="zh-CN"/>
              </w:rPr>
            </w:pPr>
            <w:r w:rsidRPr="00DE299A">
              <w:rPr>
                <w:rFonts w:eastAsia="Times New Roman" w:cs="Arial"/>
                <w:b/>
                <w:noProof/>
              </w:rPr>
              <w:drawing>
                <wp:inline distT="0" distB="0" distL="0" distR="0" wp14:anchorId="7582957D" wp14:editId="3A493EC3">
                  <wp:extent cx="1410026" cy="71564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clrChange>
                              <a:clrFrom>
                                <a:srgbClr val="EEEEEE"/>
                              </a:clrFrom>
                              <a:clrTo>
                                <a:srgbClr val="EEEEEE">
                                  <a:alpha val="0"/>
                                </a:srgbClr>
                              </a:clrTo>
                            </a:clrChange>
                            <a:extLst>
                              <a:ext uri="{BEBA8EAE-BF5A-486C-A8C5-ECC9F3942E4B}">
                                <a14:imgProps xmlns:a14="http://schemas.microsoft.com/office/drawing/2010/main">
                                  <a14:imgLayer r:embed="rId16">
                                    <a14:imgEffect>
                                      <a14:sharpenSoften amount="50000"/>
                                    </a14:imgEffect>
                                  </a14:imgLayer>
                                </a14:imgProps>
                              </a:ext>
                            </a:extLst>
                          </a:blip>
                          <a:srcRect l="8916" t="8035" b="8630"/>
                          <a:stretch/>
                        </pic:blipFill>
                        <pic:spPr bwMode="auto">
                          <a:xfrm>
                            <a:off x="0" y="0"/>
                            <a:ext cx="1421592" cy="72151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66E7098" w14:textId="0D8A3B1B"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Quelle(s) précaution(s) faut-il prendre pour manipuler de l’acide chlorhydrique ?</w:t>
      </w:r>
    </w:p>
    <w:p w14:paraId="74E24E6A" w14:textId="5F1AC16E"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Proposer un test pour montrer  que le gaz formé au cours de cette transformation chimique est bien du dihydrogène.</w:t>
      </w:r>
    </w:p>
    <w:p w14:paraId="46BA0F6B" w14:textId="3F76544D"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Identifier parmi les réactifs, celui qui joue le r</w:t>
      </w:r>
      <w:bookmarkStart w:id="0" w:name="_GoBack"/>
      <w:bookmarkEnd w:id="0"/>
      <w:r w:rsidRPr="00DE299A">
        <w:rPr>
          <w:rFonts w:eastAsia="Arial Unicode MS" w:cs="Arial"/>
          <w:lang w:eastAsia="en-US"/>
        </w:rPr>
        <w:t>ôle d’oxydant et celui qui joue le rôle de le réducteur.</w:t>
      </w:r>
    </w:p>
    <w:p w14:paraId="568B7F92" w14:textId="7C067B19"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Déterminer les quantités de matière initiales des réactifs.</w:t>
      </w:r>
    </w:p>
    <w:p w14:paraId="4FF10F90" w14:textId="24234595"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 xml:space="preserve">Compléter le tableau d’avancement en </w:t>
      </w:r>
      <w:r w:rsidRPr="00DE299A">
        <w:rPr>
          <w:rFonts w:eastAsia="Arial Unicode MS" w:cs="Arial"/>
          <w:b/>
          <w:shd w:val="clear" w:color="auto" w:fill="FFFFFF" w:themeFill="background1"/>
          <w:lang w:eastAsia="en-US"/>
        </w:rPr>
        <w:t>annexe à rendre avec la copie</w:t>
      </w:r>
      <w:r w:rsidRPr="00DE299A">
        <w:rPr>
          <w:rFonts w:eastAsia="Arial Unicode MS" w:cs="Arial"/>
          <w:shd w:val="clear" w:color="auto" w:fill="FFFFFF" w:themeFill="background1"/>
          <w:lang w:eastAsia="en-US"/>
        </w:rPr>
        <w:t xml:space="preserve"> et i</w:t>
      </w:r>
      <w:r w:rsidRPr="00DE299A">
        <w:rPr>
          <w:rFonts w:eastAsia="Arial Unicode MS" w:cs="Arial"/>
          <w:lang w:eastAsia="en-US"/>
        </w:rPr>
        <w:t xml:space="preserve">dentifier le réactif limitant de cette transformation chimique. </w:t>
      </w:r>
    </w:p>
    <w:p w14:paraId="03D83D76" w14:textId="77A121F0"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 xml:space="preserve">Montrer qu’en fin de transformation une quantité </w:t>
      </w:r>
      <m:oMath>
        <m:sSub>
          <m:sSubPr>
            <m:ctrlPr>
              <w:rPr>
                <w:rFonts w:ascii="Cambria Math" w:eastAsia="Arial Unicode MS" w:hAnsi="Cambria Math" w:cs="Arial"/>
                <w:i/>
                <w:lang w:eastAsia="en-US"/>
              </w:rPr>
            </m:ctrlPr>
          </m:sSubPr>
          <m:e>
            <m:r>
              <w:rPr>
                <w:rFonts w:ascii="Cambria Math" w:eastAsia="Arial Unicode MS" w:hAnsi="Cambria Math" w:cs="Arial"/>
                <w:lang w:eastAsia="en-US"/>
              </w:rPr>
              <m:t>n</m:t>
            </m:r>
          </m:e>
          <m:sub>
            <m:sSub>
              <m:sSubPr>
                <m:ctrlPr>
                  <w:rPr>
                    <w:rFonts w:ascii="Cambria Math" w:eastAsia="Arial Unicode MS" w:hAnsi="Cambria Math" w:cs="Arial"/>
                    <w:i/>
                    <w:lang w:eastAsia="en-US"/>
                  </w:rPr>
                </m:ctrlPr>
              </m:sSubPr>
              <m:e>
                <m:r>
                  <w:rPr>
                    <w:rFonts w:ascii="Cambria Math" w:eastAsia="Arial Unicode MS" w:hAnsi="Cambria Math" w:cs="Arial"/>
                    <w:lang w:eastAsia="en-US"/>
                  </w:rPr>
                  <m:t>H</m:t>
                </m:r>
              </m:e>
              <m:sub>
                <m:r>
                  <w:rPr>
                    <w:rFonts w:ascii="Cambria Math" w:eastAsia="Arial Unicode MS" w:hAnsi="Cambria Math" w:cs="Arial"/>
                    <w:lang w:eastAsia="en-US"/>
                  </w:rPr>
                  <m:t>2</m:t>
                </m:r>
              </m:sub>
            </m:sSub>
          </m:sub>
        </m:sSub>
      </m:oMath>
      <w:r w:rsidRPr="00DE299A">
        <w:rPr>
          <w:rFonts w:eastAsia="Arial Unicode MS" w:cs="Arial"/>
          <w:lang w:eastAsia="en-US"/>
        </w:rPr>
        <w:t xml:space="preserve"> = 1,6.10</w:t>
      </w:r>
      <w:r w:rsidRPr="00DE299A">
        <w:rPr>
          <w:rFonts w:eastAsia="Arial Unicode MS" w:cs="Arial"/>
          <w:vertAlign w:val="superscript"/>
          <w:lang w:eastAsia="en-US"/>
        </w:rPr>
        <w:t>-3</w:t>
      </w:r>
      <w:r w:rsidRPr="00DE299A">
        <w:rPr>
          <w:rFonts w:eastAsia="Arial Unicode MS" w:cs="Arial"/>
          <w:lang w:eastAsia="en-US"/>
        </w:rPr>
        <w:t xml:space="preserve"> mol de dihydrogène pourrait être formé si la transformation est totale.  </w:t>
      </w:r>
    </w:p>
    <w:p w14:paraId="19BA7C83" w14:textId="77777777"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A partir des mesures expérimentales effectuées :</w:t>
      </w:r>
    </w:p>
    <w:p w14:paraId="22475A40" w14:textId="77777777" w:rsidR="00DE299A" w:rsidRPr="00DE299A" w:rsidRDefault="00DE299A" w:rsidP="00313926">
      <w:pPr>
        <w:numPr>
          <w:ilvl w:val="0"/>
          <w:numId w:val="9"/>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déterminer quand la transformation peut être considérée comme terminée ;</w:t>
      </w:r>
    </w:p>
    <w:p w14:paraId="0030AC2D" w14:textId="21B42297" w:rsidR="00DE299A" w:rsidRPr="00DE299A" w:rsidRDefault="00DE299A" w:rsidP="00313926">
      <w:pPr>
        <w:numPr>
          <w:ilvl w:val="0"/>
          <w:numId w:val="9"/>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 xml:space="preserve">relever la valeur du volume </w:t>
      </w:r>
      <w:proofErr w:type="spellStart"/>
      <w:r w:rsidRPr="00DE299A">
        <w:rPr>
          <w:rFonts w:eastAsia="Arial Unicode MS" w:cs="Arial"/>
          <w:i/>
          <w:iCs/>
          <w:lang w:eastAsia="en-US"/>
        </w:rPr>
        <w:t>V</w:t>
      </w:r>
      <w:r w:rsidRPr="00DE299A">
        <w:rPr>
          <w:rFonts w:eastAsia="Arial Unicode MS" w:cs="Arial"/>
          <w:i/>
          <w:iCs/>
          <w:vertAlign w:val="subscript"/>
          <w:lang w:eastAsia="en-US"/>
        </w:rPr>
        <w:t>exp</w:t>
      </w:r>
      <w:proofErr w:type="spellEnd"/>
      <w:r w:rsidRPr="00DE299A">
        <w:rPr>
          <w:rFonts w:eastAsia="Arial Unicode MS" w:cs="Arial"/>
          <w:i/>
          <w:iCs/>
          <w:vertAlign w:val="subscript"/>
          <w:lang w:eastAsia="en-US"/>
        </w:rPr>
        <w:t xml:space="preserve"> H2</w:t>
      </w:r>
      <w:r w:rsidRPr="00DE299A">
        <w:rPr>
          <w:rFonts w:eastAsia="Arial Unicode MS" w:cs="Arial"/>
          <w:i/>
          <w:iCs/>
          <w:lang w:eastAsia="en-US"/>
        </w:rPr>
        <w:t xml:space="preserve"> </w:t>
      </w:r>
      <w:r w:rsidRPr="00DE299A">
        <w:rPr>
          <w:rFonts w:eastAsia="Arial Unicode MS" w:cs="Arial"/>
          <w:lang w:eastAsia="en-US"/>
        </w:rPr>
        <w:t>de dihydrogène obtenu à la fi</w:t>
      </w:r>
      <w:r w:rsidR="00F874D4">
        <w:rPr>
          <w:rFonts w:eastAsia="Arial Unicode MS" w:cs="Arial"/>
          <w:lang w:eastAsia="en-US"/>
        </w:rPr>
        <w:t>n de l’expérience.</w:t>
      </w:r>
    </w:p>
    <w:p w14:paraId="6649E67A" w14:textId="77777777" w:rsidR="00DE299A" w:rsidRPr="00DE299A" w:rsidRDefault="00DE299A" w:rsidP="00313926">
      <w:pPr>
        <w:numPr>
          <w:ilvl w:val="1"/>
          <w:numId w:val="8"/>
        </w:numPr>
        <w:tabs>
          <w:tab w:val="left" w:pos="1134"/>
        </w:tabs>
        <w:spacing w:after="0" w:line="240" w:lineRule="auto"/>
        <w:ind w:left="567"/>
        <w:contextualSpacing/>
        <w:jc w:val="both"/>
        <w:rPr>
          <w:rFonts w:eastAsiaTheme="minorHAnsi" w:cs="Arial"/>
          <w:b/>
          <w:lang w:eastAsia="en-US"/>
        </w:rPr>
      </w:pPr>
      <w:r w:rsidRPr="00DE299A">
        <w:rPr>
          <w:rFonts w:eastAsia="Arial Unicode MS" w:cs="Arial"/>
          <w:lang w:eastAsia="en-US"/>
        </w:rPr>
        <w:t xml:space="preserve">Peut-on considérer que la transformation étudiée est une transformation totale ? Justifier. </w:t>
      </w:r>
    </w:p>
    <w:p w14:paraId="3C1BD600" w14:textId="77777777" w:rsidR="00DE299A" w:rsidRPr="00DE299A" w:rsidRDefault="00DE299A" w:rsidP="00DE299A">
      <w:pPr>
        <w:spacing w:after="0" w:line="240" w:lineRule="auto"/>
        <w:ind w:left="0" w:right="851"/>
        <w:rPr>
          <w:rFonts w:eastAsia="Arial Unicode MS" w:cs="Arial"/>
          <w:lang w:eastAsia="en-US"/>
        </w:rPr>
      </w:pPr>
    </w:p>
    <w:p w14:paraId="12ED93A5" w14:textId="77777777" w:rsidR="00DE299A" w:rsidRPr="00DE299A" w:rsidRDefault="00DE299A" w:rsidP="00DE299A">
      <w:pPr>
        <w:numPr>
          <w:ilvl w:val="0"/>
          <w:numId w:val="10"/>
        </w:numPr>
        <w:tabs>
          <w:tab w:val="left" w:pos="851"/>
        </w:tabs>
        <w:spacing w:after="0" w:line="240" w:lineRule="auto"/>
        <w:ind w:right="851"/>
        <w:contextualSpacing/>
        <w:rPr>
          <w:rFonts w:eastAsia="Arial Unicode MS" w:cs="Arial"/>
          <w:b/>
          <w:lang w:eastAsia="en-US"/>
        </w:rPr>
      </w:pPr>
      <w:r w:rsidRPr="00DE299A">
        <w:rPr>
          <w:rFonts w:eastAsia="Arial Unicode MS" w:cs="Arial"/>
          <w:b/>
          <w:lang w:eastAsia="en-US"/>
        </w:rPr>
        <w:t>Un accident de dirigeable gonflé au dihydrogène qui a marqué l’histoire</w:t>
      </w:r>
    </w:p>
    <w:p w14:paraId="3F45EC05" w14:textId="77777777" w:rsidR="00DE299A" w:rsidRPr="00DE299A" w:rsidRDefault="00DE299A" w:rsidP="00DE299A">
      <w:pPr>
        <w:spacing w:after="0" w:line="240" w:lineRule="auto"/>
        <w:ind w:left="567" w:right="851"/>
        <w:contextualSpacing/>
        <w:rPr>
          <w:rFonts w:eastAsia="Arial Unicode MS" w:cs="Arial"/>
          <w:b/>
          <w:lang w:eastAsia="en-US"/>
        </w:rPr>
      </w:pPr>
    </w:p>
    <w:tbl>
      <w:tblPr>
        <w:tblStyle w:val="Grilledutableau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824"/>
      </w:tblGrid>
      <w:tr w:rsidR="00DE299A" w:rsidRPr="00DE299A" w14:paraId="5A8E8397" w14:textId="77777777" w:rsidTr="000A4FD6">
        <w:trPr>
          <w:trHeight w:val="3125"/>
        </w:trPr>
        <w:tc>
          <w:tcPr>
            <w:tcW w:w="6912" w:type="dxa"/>
          </w:tcPr>
          <w:p w14:paraId="787C55CD" w14:textId="77777777" w:rsidR="00DE299A" w:rsidRPr="00DE299A" w:rsidRDefault="00DE299A" w:rsidP="00313926">
            <w:pPr>
              <w:tabs>
                <w:tab w:val="left" w:pos="5130"/>
              </w:tabs>
              <w:spacing w:after="0" w:line="240" w:lineRule="auto"/>
              <w:ind w:left="0"/>
              <w:jc w:val="both"/>
              <w:rPr>
                <w:rFonts w:ascii="Arial" w:eastAsia="Arial Unicode MS" w:hAnsi="Arial" w:cs="Arial"/>
                <w:bCs/>
              </w:rPr>
            </w:pPr>
            <w:r w:rsidRPr="00DE299A">
              <w:rPr>
                <w:rFonts w:ascii="Arial" w:eastAsia="Arial Unicode MS" w:hAnsi="Arial" w:cs="Arial"/>
                <w:bCs/>
              </w:rPr>
              <w:t>L’Hindenburg a été le 129</w:t>
            </w:r>
            <w:r w:rsidRPr="00DE299A">
              <w:rPr>
                <w:rFonts w:ascii="Arial" w:eastAsia="Arial Unicode MS" w:hAnsi="Arial" w:cs="Arial"/>
                <w:bCs/>
                <w:vertAlign w:val="superscript"/>
              </w:rPr>
              <w:t>ème</w:t>
            </w:r>
            <w:r w:rsidRPr="00DE299A">
              <w:rPr>
                <w:rFonts w:ascii="Arial" w:eastAsia="Arial Unicode MS" w:hAnsi="Arial" w:cs="Arial"/>
                <w:bCs/>
              </w:rPr>
              <w:t xml:space="preserve"> dirigeable construit par la société allemande Zeppelin entre 1935 et 1936. Dirigeable le plus grand et le plus luxueux jamais construit, avec ses dimensions hors normes de plus de 240 m de long, il pouvait accueillir 124 personnes et comportait une salle à manger, un salon de lecture, un fumoir, des cuisines et plusieurs cabines. Disposant d’un volume de dihydrogène de près de 200 000 m</w:t>
            </w:r>
            <w:r w:rsidRPr="00DE299A">
              <w:rPr>
                <w:rFonts w:ascii="Arial" w:eastAsia="Arial Unicode MS" w:hAnsi="Arial" w:cs="Arial"/>
                <w:bCs/>
                <w:vertAlign w:val="superscript"/>
              </w:rPr>
              <w:t xml:space="preserve">3 </w:t>
            </w:r>
            <w:r w:rsidRPr="00DE299A">
              <w:rPr>
                <w:rFonts w:ascii="Arial" w:eastAsia="Arial Unicode MS" w:hAnsi="Arial" w:cs="Arial"/>
                <w:bCs/>
              </w:rPr>
              <w:t>et de 4 moteurs il affichait une vitesse de croisière de plus de 120 km.h</w:t>
            </w:r>
            <w:r w:rsidRPr="00DE299A">
              <w:rPr>
                <w:rFonts w:ascii="Arial" w:eastAsia="Arial Unicode MS" w:hAnsi="Arial" w:cs="Arial"/>
                <w:bCs/>
                <w:vertAlign w:val="superscript"/>
              </w:rPr>
              <w:t>-1</w:t>
            </w:r>
            <w:r w:rsidRPr="00DE299A">
              <w:rPr>
                <w:rFonts w:ascii="Arial" w:eastAsia="Arial Unicode MS" w:hAnsi="Arial" w:cs="Arial"/>
                <w:bCs/>
              </w:rPr>
              <w:t>. Le 6 mai 1937, lors de son 63</w:t>
            </w:r>
            <w:r w:rsidRPr="00DE299A">
              <w:rPr>
                <w:rFonts w:ascii="Arial" w:eastAsia="Arial Unicode MS" w:hAnsi="Arial" w:cs="Arial"/>
                <w:bCs/>
                <w:vertAlign w:val="superscript"/>
              </w:rPr>
              <w:t>ème</w:t>
            </w:r>
            <w:r w:rsidRPr="00DE299A">
              <w:rPr>
                <w:rFonts w:ascii="Arial" w:eastAsia="Arial Unicode MS" w:hAnsi="Arial" w:cs="Arial"/>
                <w:bCs/>
              </w:rPr>
              <w:t xml:space="preserve"> voyage et après 77 heures de vol, il s’est écrasé à l’atterrissage à </w:t>
            </w:r>
            <w:proofErr w:type="spellStart"/>
            <w:r w:rsidRPr="00DE299A">
              <w:rPr>
                <w:rFonts w:ascii="Arial" w:eastAsia="Arial Unicode MS" w:hAnsi="Arial" w:cs="Arial"/>
                <w:bCs/>
              </w:rPr>
              <w:t>Lakehurst</w:t>
            </w:r>
            <w:proofErr w:type="spellEnd"/>
            <w:r w:rsidRPr="00DE299A">
              <w:rPr>
                <w:rFonts w:ascii="Arial" w:eastAsia="Arial Unicode MS" w:hAnsi="Arial" w:cs="Arial"/>
                <w:bCs/>
              </w:rPr>
              <w:t xml:space="preserve"> dans le New Jersey. </w:t>
            </w:r>
          </w:p>
        </w:tc>
        <w:tc>
          <w:tcPr>
            <w:tcW w:w="2824" w:type="dxa"/>
          </w:tcPr>
          <w:p w14:paraId="54F49F72" w14:textId="77777777" w:rsidR="00DE299A" w:rsidRPr="00DE299A" w:rsidRDefault="00DE299A" w:rsidP="00DE299A">
            <w:pPr>
              <w:spacing w:after="0" w:line="240" w:lineRule="auto"/>
              <w:ind w:left="0" w:right="20"/>
              <w:rPr>
                <w:rFonts w:ascii="Arial" w:eastAsia="Arial Unicode MS" w:hAnsi="Arial" w:cs="Arial"/>
                <w:bCs/>
                <w:i/>
                <w:iCs/>
              </w:rPr>
            </w:pPr>
            <w:r w:rsidRPr="00DE299A">
              <w:rPr>
                <w:rFonts w:eastAsia="Arial Unicode MS" w:cs="Arial"/>
                <w:bCs/>
                <w:noProof/>
              </w:rPr>
              <w:drawing>
                <wp:inline distT="0" distB="0" distL="0" distR="0" wp14:anchorId="01B607A2" wp14:editId="3F4F736B">
                  <wp:extent cx="1793233" cy="1442357"/>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1271" cy="1464909"/>
                          </a:xfrm>
                          <a:prstGeom prst="rect">
                            <a:avLst/>
                          </a:prstGeom>
                          <a:noFill/>
                          <a:ln>
                            <a:noFill/>
                          </a:ln>
                        </pic:spPr>
                      </pic:pic>
                    </a:graphicData>
                  </a:graphic>
                </wp:inline>
              </w:drawing>
            </w:r>
            <w:r w:rsidRPr="00DE299A">
              <w:rPr>
                <w:rFonts w:ascii="Arial" w:eastAsia="Arial Unicode MS" w:hAnsi="Arial" w:cs="Arial"/>
                <w:bCs/>
                <w:i/>
                <w:iCs/>
              </w:rPr>
              <w:t xml:space="preserve"> </w:t>
            </w:r>
          </w:p>
          <w:p w14:paraId="4795A990" w14:textId="77777777" w:rsidR="00DE299A" w:rsidRPr="00DE299A" w:rsidRDefault="00DE299A" w:rsidP="00DE299A">
            <w:pPr>
              <w:spacing w:after="0" w:line="240" w:lineRule="auto"/>
              <w:ind w:left="0" w:right="20"/>
              <w:rPr>
                <w:rFonts w:ascii="Arial" w:eastAsia="Arial Unicode MS" w:hAnsi="Arial" w:cs="Arial"/>
                <w:bCs/>
                <w:i/>
                <w:iCs/>
                <w:sz w:val="20"/>
                <w:szCs w:val="20"/>
              </w:rPr>
            </w:pPr>
            <w:r w:rsidRPr="00DE299A">
              <w:rPr>
                <w:rFonts w:ascii="Arial" w:eastAsia="Arial Unicode MS" w:hAnsi="Arial" w:cs="Arial"/>
                <w:bCs/>
                <w:i/>
                <w:iCs/>
                <w:sz w:val="20"/>
                <w:szCs w:val="20"/>
              </w:rPr>
              <w:t>www.portail-aviation.com</w:t>
            </w:r>
          </w:p>
          <w:p w14:paraId="5396C849" w14:textId="77777777" w:rsidR="00DE299A" w:rsidRPr="00DE299A" w:rsidRDefault="00DE299A" w:rsidP="00DE299A">
            <w:pPr>
              <w:spacing w:after="0" w:line="240" w:lineRule="auto"/>
              <w:ind w:left="0" w:right="851"/>
              <w:rPr>
                <w:rFonts w:ascii="Arial" w:eastAsia="Arial Unicode MS" w:hAnsi="Arial" w:cs="Arial"/>
                <w:bCs/>
              </w:rPr>
            </w:pPr>
          </w:p>
        </w:tc>
      </w:tr>
      <w:tr w:rsidR="00DE299A" w:rsidRPr="00DE299A" w14:paraId="4C0165F6" w14:textId="77777777" w:rsidTr="000A4FD6">
        <w:trPr>
          <w:trHeight w:val="1656"/>
        </w:trPr>
        <w:tc>
          <w:tcPr>
            <w:tcW w:w="9736" w:type="dxa"/>
            <w:gridSpan w:val="2"/>
          </w:tcPr>
          <w:p w14:paraId="285B275A" w14:textId="77777777" w:rsidR="00DE299A" w:rsidRPr="00DE299A" w:rsidRDefault="00DE299A" w:rsidP="00313926">
            <w:pPr>
              <w:spacing w:after="0" w:line="240" w:lineRule="auto"/>
              <w:ind w:left="0"/>
              <w:jc w:val="both"/>
              <w:rPr>
                <w:rFonts w:ascii="Arial" w:eastAsia="Arial Unicode MS" w:hAnsi="Arial" w:cs="Arial"/>
                <w:bCs/>
                <w:noProof/>
              </w:rPr>
            </w:pPr>
            <w:r w:rsidRPr="00DE299A">
              <w:rPr>
                <w:rFonts w:ascii="Arial" w:eastAsia="Arial Unicode MS" w:hAnsi="Arial" w:cs="Arial"/>
                <w:bCs/>
              </w:rPr>
              <w:lastRenderedPageBreak/>
              <w:t>On explique aujourd’hui cet accident de la façon suivante : après trois jours de vol, le dirigeable chargé d’électricité statique et après avoir rencontré un orage aurait connu une défaillance technique engendrant une fuite de dihydrogène. Une décharge d’électricité statique créée lorsqu’une des amarres du dirigeable a touché le sol aurait amorcé la combustion du dihydrogène, réaction du dihydrogène avec le dioxygène de l’air.</w:t>
            </w:r>
          </w:p>
        </w:tc>
      </w:tr>
    </w:tbl>
    <w:p w14:paraId="6CB16608" w14:textId="77777777" w:rsidR="00DE299A" w:rsidRPr="00DE299A" w:rsidRDefault="00DE299A" w:rsidP="00DE299A">
      <w:pPr>
        <w:spacing w:after="0" w:line="240" w:lineRule="auto"/>
        <w:ind w:left="0" w:right="851" w:firstLine="567"/>
        <w:rPr>
          <w:rFonts w:eastAsia="Arial Unicode MS" w:cs="Arial"/>
          <w:iCs/>
          <w:lang w:eastAsia="en-US"/>
        </w:rPr>
      </w:pPr>
      <w:r w:rsidRPr="00DE299A">
        <w:rPr>
          <w:rFonts w:eastAsia="Arial Unicode MS" w:cs="Arial"/>
          <w:b/>
          <w:iCs/>
          <w:lang w:eastAsia="en-US"/>
        </w:rPr>
        <w:t>Données</w:t>
      </w:r>
      <w:r w:rsidRPr="00DE299A">
        <w:rPr>
          <w:rFonts w:eastAsia="Arial Unicode MS" w:cs="Arial"/>
          <w:iCs/>
          <w:lang w:eastAsia="en-US"/>
        </w:rPr>
        <w:t xml:space="preserve"> </w:t>
      </w:r>
    </w:p>
    <w:p w14:paraId="6CA42EAC" w14:textId="77777777" w:rsidR="00DE299A" w:rsidRPr="00DE299A" w:rsidRDefault="00DE299A" w:rsidP="00313926">
      <w:pPr>
        <w:numPr>
          <w:ilvl w:val="0"/>
          <w:numId w:val="9"/>
        </w:numPr>
        <w:spacing w:after="0" w:line="240" w:lineRule="auto"/>
        <w:ind w:left="709" w:right="851" w:hanging="142"/>
        <w:contextualSpacing/>
        <w:jc w:val="both"/>
        <w:rPr>
          <w:rFonts w:eastAsia="Arial Unicode MS" w:cs="Arial"/>
          <w:iCs/>
          <w:lang w:eastAsia="en-US"/>
        </w:rPr>
      </w:pPr>
      <w:r w:rsidRPr="00DE299A">
        <w:rPr>
          <w:rFonts w:eastAsia="Arial Unicode MS" w:cs="Arial"/>
          <w:iCs/>
          <w:lang w:eastAsia="en-US"/>
        </w:rPr>
        <w:t xml:space="preserve">Équation de la réaction modélisant la combustion du dihydrogène : </w:t>
      </w:r>
    </w:p>
    <w:p w14:paraId="719F80BB" w14:textId="77777777" w:rsidR="00DE299A" w:rsidRPr="00DE299A" w:rsidRDefault="00DE299A" w:rsidP="00313926">
      <w:pPr>
        <w:spacing w:after="0" w:line="240" w:lineRule="auto"/>
        <w:ind w:left="709" w:right="851" w:hanging="142"/>
        <w:contextualSpacing/>
        <w:jc w:val="both"/>
        <w:rPr>
          <w:rFonts w:eastAsia="Arial Unicode MS" w:cs="Arial"/>
          <w:bCs/>
          <w:vertAlign w:val="subscript"/>
          <w:lang w:eastAsia="en-US"/>
        </w:rPr>
      </w:pPr>
      <w:r w:rsidRPr="00DE299A">
        <w:rPr>
          <w:rFonts w:eastAsia="Arial Unicode MS" w:cs="Arial"/>
          <w:iCs/>
          <w:lang w:eastAsia="en-US"/>
        </w:rPr>
        <w:t xml:space="preserve">  </w:t>
      </w:r>
      <w:r w:rsidRPr="00DE299A">
        <w:rPr>
          <w:rFonts w:eastAsia="Arial Unicode MS" w:cs="Arial"/>
          <w:bCs/>
          <w:lang w:eastAsia="en-US"/>
        </w:rPr>
        <w:t>H</w:t>
      </w:r>
      <w:r w:rsidRPr="00DE299A">
        <w:rPr>
          <w:rFonts w:eastAsia="Arial Unicode MS" w:cs="Arial"/>
          <w:bCs/>
          <w:vertAlign w:val="subscript"/>
          <w:lang w:eastAsia="en-US"/>
        </w:rPr>
        <w:t>2</w:t>
      </w:r>
      <w:r w:rsidRPr="00DE299A">
        <w:rPr>
          <w:rFonts w:eastAsia="Arial Unicode MS" w:cs="Arial"/>
          <w:bCs/>
          <w:lang w:eastAsia="en-US"/>
        </w:rPr>
        <w:t xml:space="preserve"> </w:t>
      </w:r>
      <w:r w:rsidRPr="00DE299A">
        <w:rPr>
          <w:rFonts w:eastAsia="Arial Unicode MS" w:cs="Arial"/>
          <w:bCs/>
          <w:vertAlign w:val="subscript"/>
          <w:lang w:eastAsia="en-US"/>
        </w:rPr>
        <w:t>(g)</w:t>
      </w:r>
      <w:r w:rsidRPr="00DE299A">
        <w:rPr>
          <w:rFonts w:eastAsia="Arial Unicode MS" w:cs="Arial"/>
          <w:bCs/>
          <w:lang w:eastAsia="en-US"/>
        </w:rPr>
        <w:t xml:space="preserve"> +  </w:t>
      </w:r>
      <m:oMath>
        <m:f>
          <m:fPr>
            <m:ctrlPr>
              <w:rPr>
                <w:rFonts w:ascii="Cambria Math" w:eastAsia="Arial Unicode MS" w:hAnsi="Cambria Math" w:cs="Arial"/>
                <w:bCs/>
                <w:i/>
                <w:lang w:eastAsia="en-US"/>
              </w:rPr>
            </m:ctrlPr>
          </m:fPr>
          <m:num>
            <m:r>
              <w:rPr>
                <w:rFonts w:ascii="Cambria Math" w:eastAsia="Arial Unicode MS" w:hAnsi="Cambria Math" w:cs="Arial"/>
                <w:lang w:eastAsia="en-US"/>
              </w:rPr>
              <m:t>1</m:t>
            </m:r>
          </m:num>
          <m:den>
            <m:r>
              <w:rPr>
                <w:rFonts w:ascii="Cambria Math" w:eastAsia="Arial Unicode MS" w:hAnsi="Cambria Math" w:cs="Arial"/>
                <w:lang w:eastAsia="en-US"/>
              </w:rPr>
              <m:t>2</m:t>
            </m:r>
          </m:den>
        </m:f>
      </m:oMath>
      <w:r w:rsidRPr="00DE299A">
        <w:rPr>
          <w:rFonts w:eastAsia="Arial Unicode MS" w:cs="Arial"/>
          <w:bCs/>
          <w:lang w:eastAsia="en-US"/>
        </w:rPr>
        <w:t xml:space="preserve"> O</w:t>
      </w:r>
      <w:r w:rsidRPr="00DE299A">
        <w:rPr>
          <w:rFonts w:eastAsia="Arial Unicode MS" w:cs="Arial"/>
          <w:bCs/>
          <w:vertAlign w:val="subscript"/>
          <w:lang w:eastAsia="en-US"/>
        </w:rPr>
        <w:t>2 (g)</w:t>
      </w:r>
      <w:r w:rsidRPr="00DE299A">
        <w:rPr>
          <w:rFonts w:eastAsia="Arial Unicode MS" w:cs="Arial"/>
          <w:bCs/>
          <w:lang w:eastAsia="en-US"/>
        </w:rPr>
        <w:t xml:space="preserve">  →  H</w:t>
      </w:r>
      <w:r w:rsidRPr="00DE299A">
        <w:rPr>
          <w:rFonts w:eastAsia="Arial Unicode MS" w:cs="Arial"/>
          <w:bCs/>
          <w:vertAlign w:val="subscript"/>
          <w:lang w:eastAsia="en-US"/>
        </w:rPr>
        <w:t>2</w:t>
      </w:r>
      <w:r w:rsidRPr="00DE299A">
        <w:rPr>
          <w:rFonts w:eastAsia="Arial Unicode MS" w:cs="Arial"/>
          <w:bCs/>
          <w:lang w:eastAsia="en-US"/>
        </w:rPr>
        <w:t>O</w:t>
      </w:r>
      <w:r w:rsidRPr="00DE299A">
        <w:rPr>
          <w:rFonts w:eastAsia="Arial Unicode MS" w:cs="Arial"/>
          <w:bCs/>
          <w:vertAlign w:val="subscript"/>
          <w:lang w:eastAsia="en-US"/>
        </w:rPr>
        <w:t xml:space="preserve"> (l)</w:t>
      </w:r>
    </w:p>
    <w:p w14:paraId="0F1A76B4" w14:textId="77777777" w:rsidR="00DE299A" w:rsidRPr="00DE299A" w:rsidRDefault="00DE299A" w:rsidP="00313926">
      <w:pPr>
        <w:numPr>
          <w:ilvl w:val="0"/>
          <w:numId w:val="9"/>
        </w:numPr>
        <w:spacing w:after="0" w:line="240" w:lineRule="auto"/>
        <w:ind w:left="709" w:right="851" w:hanging="142"/>
        <w:contextualSpacing/>
        <w:jc w:val="both"/>
        <w:rPr>
          <w:rFonts w:eastAsia="Arial Unicode MS" w:cs="Arial"/>
          <w:iCs/>
          <w:lang w:eastAsia="en-US"/>
        </w:rPr>
      </w:pPr>
      <w:r w:rsidRPr="00DE299A">
        <w:rPr>
          <w:rFonts w:eastAsia="Arial Unicode MS" w:cs="Arial"/>
          <w:iCs/>
          <w:lang w:eastAsia="en-US"/>
        </w:rPr>
        <w:t xml:space="preserve">Numéros atomiques : H  (Z = 1) ; O (Z = 8) </w:t>
      </w:r>
    </w:p>
    <w:p w14:paraId="0548991B" w14:textId="77777777" w:rsidR="00DE299A" w:rsidRPr="00DE299A" w:rsidRDefault="00DE299A" w:rsidP="00313926">
      <w:pPr>
        <w:numPr>
          <w:ilvl w:val="0"/>
          <w:numId w:val="9"/>
        </w:numPr>
        <w:spacing w:after="0" w:line="240" w:lineRule="auto"/>
        <w:ind w:left="709" w:right="851" w:hanging="142"/>
        <w:contextualSpacing/>
        <w:jc w:val="both"/>
        <w:rPr>
          <w:rFonts w:eastAsia="Arial Unicode MS" w:cs="Arial"/>
          <w:iCs/>
          <w:lang w:eastAsia="en-US"/>
        </w:rPr>
      </w:pPr>
      <w:r w:rsidRPr="00DE299A">
        <w:rPr>
          <w:rFonts w:eastAsia="Arial Unicode MS" w:cs="Arial"/>
          <w:iCs/>
          <w:lang w:eastAsia="en-US"/>
        </w:rPr>
        <w:t>Énergies de liaison</w:t>
      </w:r>
    </w:p>
    <w:tbl>
      <w:tblPr>
        <w:tblStyle w:val="Grilledutableau1"/>
        <w:tblW w:w="0" w:type="auto"/>
        <w:tblInd w:w="988" w:type="dxa"/>
        <w:tblLook w:val="04A0" w:firstRow="1" w:lastRow="0" w:firstColumn="1" w:lastColumn="0" w:noHBand="0" w:noVBand="1"/>
      </w:tblPr>
      <w:tblGrid>
        <w:gridCol w:w="2664"/>
        <w:gridCol w:w="1985"/>
        <w:gridCol w:w="1842"/>
        <w:gridCol w:w="2104"/>
      </w:tblGrid>
      <w:tr w:rsidR="00DE299A" w:rsidRPr="00DE299A" w14:paraId="044934D5" w14:textId="77777777" w:rsidTr="000A4FD6">
        <w:tc>
          <w:tcPr>
            <w:tcW w:w="2664" w:type="dxa"/>
          </w:tcPr>
          <w:p w14:paraId="4D265FBF" w14:textId="77777777" w:rsidR="00DE299A" w:rsidRPr="00DE299A" w:rsidRDefault="00DE299A" w:rsidP="00DE299A">
            <w:pPr>
              <w:spacing w:after="0" w:line="240" w:lineRule="auto"/>
              <w:ind w:left="709" w:right="175" w:hanging="704"/>
              <w:rPr>
                <w:rFonts w:ascii="Arial" w:eastAsia="Arial Unicode MS" w:hAnsi="Arial" w:cs="Arial"/>
              </w:rPr>
            </w:pPr>
            <w:r w:rsidRPr="00DE299A">
              <w:rPr>
                <w:rFonts w:ascii="Arial" w:eastAsia="Arial Unicode MS" w:hAnsi="Arial" w:cs="Arial"/>
              </w:rPr>
              <w:t xml:space="preserve">Liaison </w:t>
            </w:r>
          </w:p>
        </w:tc>
        <w:tc>
          <w:tcPr>
            <w:tcW w:w="1985" w:type="dxa"/>
          </w:tcPr>
          <w:p w14:paraId="54341267" w14:textId="77777777" w:rsidR="00DE299A" w:rsidRPr="00DE299A" w:rsidRDefault="00DE299A" w:rsidP="00DE299A">
            <w:pPr>
              <w:spacing w:after="0" w:line="240" w:lineRule="auto"/>
              <w:ind w:left="161" w:right="153"/>
              <w:jc w:val="center"/>
              <w:rPr>
                <w:rFonts w:ascii="Arial" w:eastAsia="Arial Unicode MS" w:hAnsi="Arial" w:cs="Arial"/>
              </w:rPr>
            </w:pPr>
            <w:r w:rsidRPr="00DE299A">
              <w:rPr>
                <w:rFonts w:ascii="Arial" w:eastAsia="Arial Unicode MS" w:hAnsi="Arial" w:cs="Arial"/>
              </w:rPr>
              <w:t>H –H</w:t>
            </w:r>
          </w:p>
        </w:tc>
        <w:tc>
          <w:tcPr>
            <w:tcW w:w="1842" w:type="dxa"/>
          </w:tcPr>
          <w:p w14:paraId="6CB2E876" w14:textId="77777777" w:rsidR="00DE299A" w:rsidRPr="00DE299A" w:rsidRDefault="00DE299A" w:rsidP="00DE299A">
            <w:pPr>
              <w:spacing w:after="0" w:line="240" w:lineRule="auto"/>
              <w:ind w:left="765" w:right="153" w:hanging="567"/>
              <w:jc w:val="center"/>
              <w:rPr>
                <w:rFonts w:ascii="Arial" w:eastAsia="Arial Unicode MS" w:hAnsi="Arial" w:cs="Arial"/>
              </w:rPr>
            </w:pPr>
            <w:r w:rsidRPr="00DE299A">
              <w:rPr>
                <w:rFonts w:ascii="Arial" w:eastAsia="Arial Unicode MS" w:hAnsi="Arial" w:cs="Arial"/>
              </w:rPr>
              <w:t>O = O</w:t>
            </w:r>
          </w:p>
        </w:tc>
        <w:tc>
          <w:tcPr>
            <w:tcW w:w="2104" w:type="dxa"/>
          </w:tcPr>
          <w:p w14:paraId="268CD80D" w14:textId="77777777" w:rsidR="00DE299A" w:rsidRPr="00DE299A" w:rsidRDefault="00DE299A" w:rsidP="00DE299A">
            <w:pPr>
              <w:spacing w:after="0" w:line="240" w:lineRule="auto"/>
              <w:ind w:left="709" w:right="851" w:hanging="369"/>
              <w:jc w:val="center"/>
              <w:rPr>
                <w:rFonts w:ascii="Arial" w:eastAsia="Arial Unicode MS" w:hAnsi="Arial" w:cs="Arial"/>
              </w:rPr>
            </w:pPr>
            <w:r w:rsidRPr="00DE299A">
              <w:rPr>
                <w:rFonts w:ascii="Arial" w:eastAsia="Arial Unicode MS" w:hAnsi="Arial" w:cs="Arial"/>
              </w:rPr>
              <w:t>O – H</w:t>
            </w:r>
          </w:p>
        </w:tc>
      </w:tr>
      <w:tr w:rsidR="00DE299A" w:rsidRPr="00DE299A" w14:paraId="69874BF6" w14:textId="77777777" w:rsidTr="000A4FD6">
        <w:tc>
          <w:tcPr>
            <w:tcW w:w="2664" w:type="dxa"/>
          </w:tcPr>
          <w:p w14:paraId="077C7526" w14:textId="77777777" w:rsidR="00DE299A" w:rsidRPr="00DE299A" w:rsidRDefault="00DE299A" w:rsidP="00DE299A">
            <w:pPr>
              <w:spacing w:after="0" w:line="240" w:lineRule="auto"/>
              <w:ind w:left="709" w:right="175" w:hanging="704"/>
              <w:rPr>
                <w:rFonts w:ascii="Arial" w:eastAsia="Arial Unicode MS" w:hAnsi="Arial" w:cs="Arial"/>
              </w:rPr>
            </w:pPr>
            <w:r w:rsidRPr="00DE299A">
              <w:rPr>
                <w:rFonts w:ascii="Arial" w:eastAsia="Arial Unicode MS" w:hAnsi="Arial" w:cs="Arial"/>
              </w:rPr>
              <w:t>Énergie de liaison    (en kJ.mol</w:t>
            </w:r>
            <w:r w:rsidRPr="00DE299A">
              <w:rPr>
                <w:rFonts w:ascii="Arial" w:eastAsia="Arial Unicode MS" w:hAnsi="Arial" w:cs="Arial"/>
                <w:vertAlign w:val="superscript"/>
              </w:rPr>
              <w:t>-1</w:t>
            </w:r>
            <w:r w:rsidRPr="00DE299A">
              <w:rPr>
                <w:rFonts w:ascii="Arial" w:eastAsia="Arial Unicode MS" w:hAnsi="Arial" w:cs="Arial"/>
              </w:rPr>
              <w:t>)</w:t>
            </w:r>
          </w:p>
        </w:tc>
        <w:tc>
          <w:tcPr>
            <w:tcW w:w="1985" w:type="dxa"/>
            <w:vAlign w:val="center"/>
          </w:tcPr>
          <w:p w14:paraId="4CA6D4E6" w14:textId="77777777" w:rsidR="00DE299A" w:rsidRPr="00DE299A" w:rsidRDefault="00DE299A" w:rsidP="00DE299A">
            <w:pPr>
              <w:spacing w:after="0" w:line="240" w:lineRule="auto"/>
              <w:ind w:left="885" w:right="35" w:hanging="533"/>
              <w:jc w:val="center"/>
              <w:rPr>
                <w:rFonts w:ascii="Arial" w:eastAsia="Arial Unicode MS" w:hAnsi="Arial" w:cs="Arial"/>
              </w:rPr>
            </w:pPr>
            <w:r w:rsidRPr="00DE299A">
              <w:rPr>
                <w:rFonts w:ascii="Arial" w:eastAsia="Arial Unicode MS" w:hAnsi="Arial" w:cs="Arial"/>
                <w:i/>
                <w:iCs/>
              </w:rPr>
              <w:t>D</w:t>
            </w:r>
            <w:r w:rsidRPr="00DE299A">
              <w:rPr>
                <w:rFonts w:ascii="Arial" w:eastAsia="Arial Unicode MS" w:hAnsi="Arial" w:cs="Arial"/>
                <w:i/>
                <w:iCs/>
                <w:vertAlign w:val="subscript"/>
              </w:rPr>
              <w:t xml:space="preserve">H – H </w:t>
            </w:r>
            <w:r w:rsidRPr="00DE299A">
              <w:rPr>
                <w:rFonts w:ascii="Arial" w:eastAsia="Arial Unicode MS" w:hAnsi="Arial" w:cs="Arial"/>
                <w:i/>
                <w:iCs/>
              </w:rPr>
              <w:t>=</w:t>
            </w:r>
            <w:r w:rsidRPr="00DE299A">
              <w:rPr>
                <w:rFonts w:ascii="Arial" w:eastAsia="Arial Unicode MS" w:hAnsi="Arial" w:cs="Arial"/>
              </w:rPr>
              <w:t xml:space="preserve"> 436</w:t>
            </w:r>
          </w:p>
        </w:tc>
        <w:tc>
          <w:tcPr>
            <w:tcW w:w="1842" w:type="dxa"/>
            <w:vAlign w:val="center"/>
          </w:tcPr>
          <w:p w14:paraId="374247D5" w14:textId="77777777" w:rsidR="00DE299A" w:rsidRPr="00DE299A" w:rsidRDefault="00DE299A" w:rsidP="00DE299A">
            <w:pPr>
              <w:spacing w:after="0" w:line="240" w:lineRule="auto"/>
              <w:ind w:left="709" w:hanging="511"/>
              <w:jc w:val="center"/>
              <w:rPr>
                <w:rFonts w:ascii="Arial" w:eastAsia="Arial Unicode MS" w:hAnsi="Arial" w:cs="Arial"/>
              </w:rPr>
            </w:pPr>
            <w:r w:rsidRPr="00DE299A">
              <w:rPr>
                <w:rFonts w:ascii="Arial" w:eastAsia="Arial Unicode MS" w:hAnsi="Arial" w:cs="Arial"/>
                <w:i/>
                <w:iCs/>
              </w:rPr>
              <w:t>D</w:t>
            </w:r>
            <w:r w:rsidRPr="00DE299A">
              <w:rPr>
                <w:rFonts w:ascii="Arial" w:eastAsia="Arial Unicode MS" w:hAnsi="Arial" w:cs="Arial"/>
                <w:i/>
                <w:iCs/>
                <w:vertAlign w:val="subscript"/>
              </w:rPr>
              <w:t>O=O</w:t>
            </w:r>
            <w:r w:rsidRPr="00DE299A">
              <w:rPr>
                <w:rFonts w:ascii="Arial" w:eastAsia="Arial Unicode MS" w:hAnsi="Arial" w:cs="Arial"/>
                <w:i/>
                <w:iCs/>
              </w:rPr>
              <w:t>=</w:t>
            </w:r>
            <w:r w:rsidRPr="00DE299A">
              <w:rPr>
                <w:rFonts w:ascii="Arial" w:eastAsia="Arial Unicode MS" w:hAnsi="Arial" w:cs="Arial"/>
              </w:rPr>
              <w:t xml:space="preserve"> 496</w:t>
            </w:r>
          </w:p>
        </w:tc>
        <w:tc>
          <w:tcPr>
            <w:tcW w:w="2104" w:type="dxa"/>
            <w:vAlign w:val="center"/>
          </w:tcPr>
          <w:p w14:paraId="04CA8CC6" w14:textId="77777777" w:rsidR="00DE299A" w:rsidRPr="00DE299A" w:rsidRDefault="00DE299A" w:rsidP="00DE299A">
            <w:pPr>
              <w:spacing w:after="0" w:line="240" w:lineRule="auto"/>
              <w:ind w:left="709" w:right="29" w:hanging="511"/>
              <w:jc w:val="center"/>
              <w:rPr>
                <w:rFonts w:ascii="Arial" w:eastAsia="Arial Unicode MS" w:hAnsi="Arial" w:cs="Arial"/>
              </w:rPr>
            </w:pPr>
            <w:r w:rsidRPr="00DE299A">
              <w:rPr>
                <w:rFonts w:ascii="Arial" w:eastAsia="Arial Unicode MS" w:hAnsi="Arial" w:cs="Arial"/>
                <w:i/>
                <w:iCs/>
              </w:rPr>
              <w:t>D</w:t>
            </w:r>
            <w:r w:rsidRPr="00DE299A">
              <w:rPr>
                <w:rFonts w:ascii="Arial" w:eastAsia="Arial Unicode MS" w:hAnsi="Arial" w:cs="Arial"/>
                <w:i/>
                <w:iCs/>
                <w:vertAlign w:val="subscript"/>
              </w:rPr>
              <w:t>O – H</w:t>
            </w:r>
            <w:r w:rsidRPr="00DE299A">
              <w:rPr>
                <w:rFonts w:ascii="Arial" w:eastAsia="Arial Unicode MS" w:hAnsi="Arial" w:cs="Arial"/>
                <w:i/>
                <w:iCs/>
              </w:rPr>
              <w:t xml:space="preserve"> =</w:t>
            </w:r>
            <w:r w:rsidRPr="00DE299A">
              <w:rPr>
                <w:rFonts w:ascii="Arial" w:eastAsia="Arial Unicode MS" w:hAnsi="Arial" w:cs="Arial"/>
              </w:rPr>
              <w:t xml:space="preserve"> 463</w:t>
            </w:r>
          </w:p>
        </w:tc>
      </w:tr>
    </w:tbl>
    <w:p w14:paraId="067A19E0" w14:textId="77777777" w:rsidR="00DE299A" w:rsidRPr="00DE299A" w:rsidRDefault="00DE299A" w:rsidP="00DE299A">
      <w:pPr>
        <w:spacing w:after="0" w:line="240" w:lineRule="auto"/>
        <w:ind w:left="709" w:right="851" w:hanging="142"/>
        <w:rPr>
          <w:rFonts w:eastAsia="Arial Unicode MS" w:cs="Arial"/>
          <w:iCs/>
          <w:lang w:eastAsia="en-US"/>
        </w:rPr>
      </w:pPr>
    </w:p>
    <w:p w14:paraId="153F635F" w14:textId="77777777" w:rsidR="00DE299A" w:rsidRPr="00DE299A" w:rsidRDefault="00DE299A" w:rsidP="00DE299A">
      <w:pPr>
        <w:numPr>
          <w:ilvl w:val="0"/>
          <w:numId w:val="9"/>
        </w:numPr>
        <w:spacing w:after="0" w:line="240" w:lineRule="auto"/>
        <w:ind w:left="709" w:right="851" w:hanging="142"/>
        <w:contextualSpacing/>
        <w:rPr>
          <w:rFonts w:eastAsia="Arial Unicode MS" w:cs="Arial"/>
          <w:lang w:eastAsia="en-US"/>
        </w:rPr>
      </w:pPr>
      <w:r w:rsidRPr="00DE299A">
        <w:rPr>
          <w:rFonts w:eastAsia="Arial Unicode MS" w:cs="Arial"/>
          <w:iCs/>
          <w:lang w:eastAsia="en-US"/>
        </w:rPr>
        <w:t xml:space="preserve">Volume molaire des gaz à 20°C : </w:t>
      </w:r>
      <w:proofErr w:type="spellStart"/>
      <w:r w:rsidRPr="00DE299A">
        <w:rPr>
          <w:rFonts w:eastAsia="Arial Unicode MS" w:cs="Arial"/>
          <w:i/>
          <w:lang w:eastAsia="en-US"/>
        </w:rPr>
        <w:t>V</w:t>
      </w:r>
      <w:r w:rsidRPr="00DE299A">
        <w:rPr>
          <w:rFonts w:eastAsia="Arial Unicode MS" w:cs="Arial"/>
          <w:i/>
          <w:vertAlign w:val="subscript"/>
          <w:lang w:eastAsia="en-US"/>
        </w:rPr>
        <w:t>m</w:t>
      </w:r>
      <w:proofErr w:type="spellEnd"/>
      <w:r w:rsidRPr="00DE299A">
        <w:rPr>
          <w:rFonts w:eastAsia="Arial Unicode MS" w:cs="Arial"/>
          <w:i/>
          <w:vertAlign w:val="subscript"/>
          <w:lang w:eastAsia="en-US"/>
        </w:rPr>
        <w:t xml:space="preserve"> </w:t>
      </w:r>
      <w:r w:rsidRPr="00DE299A">
        <w:rPr>
          <w:rFonts w:eastAsia="Arial Unicode MS" w:cs="Arial"/>
          <w:iCs/>
          <w:lang w:eastAsia="en-US"/>
        </w:rPr>
        <w:t>= 24,0  L.mol</w:t>
      </w:r>
      <w:r w:rsidRPr="00DE299A">
        <w:rPr>
          <w:rFonts w:eastAsia="Arial Unicode MS" w:cs="Arial"/>
          <w:iCs/>
          <w:vertAlign w:val="superscript"/>
          <w:lang w:eastAsia="en-US"/>
        </w:rPr>
        <w:t>-1</w:t>
      </w:r>
      <w:r w:rsidRPr="00DE299A">
        <w:rPr>
          <w:rFonts w:eastAsia="Arial Unicode MS" w:cs="Arial"/>
          <w:lang w:eastAsia="en-US"/>
        </w:rPr>
        <w:t xml:space="preserve"> </w:t>
      </w:r>
    </w:p>
    <w:p w14:paraId="3BD3E171" w14:textId="77777777" w:rsidR="00DE299A" w:rsidRPr="00DE299A" w:rsidRDefault="00DE299A" w:rsidP="00313926">
      <w:pPr>
        <w:numPr>
          <w:ilvl w:val="0"/>
          <w:numId w:val="9"/>
        </w:numPr>
        <w:spacing w:after="0" w:line="240" w:lineRule="auto"/>
        <w:ind w:left="709" w:right="851" w:hanging="142"/>
        <w:contextualSpacing/>
        <w:jc w:val="both"/>
        <w:rPr>
          <w:rFonts w:eastAsia="Arial Unicode MS" w:cs="Arial"/>
          <w:lang w:eastAsia="en-US"/>
        </w:rPr>
      </w:pPr>
      <w:r w:rsidRPr="00DE299A">
        <w:rPr>
          <w:rFonts w:eastAsia="Arial Unicode MS" w:cs="Arial"/>
          <w:lang w:eastAsia="en-US"/>
        </w:rPr>
        <w:t>Le TNT (trinitrotoluène) est un explosif. On compare souvent les énergies produites lors des explosions en équivalent TNT, l’explosion d’un gramme de TNT libérant une énergie de 4184 J.</w:t>
      </w:r>
    </w:p>
    <w:p w14:paraId="4A7C9327" w14:textId="77777777" w:rsidR="00DE299A" w:rsidRPr="00DE299A" w:rsidRDefault="00DE299A" w:rsidP="00DE299A">
      <w:pPr>
        <w:spacing w:after="0" w:line="240" w:lineRule="auto"/>
        <w:ind w:left="567" w:right="851"/>
        <w:rPr>
          <w:rFonts w:eastAsia="Arial Unicode MS" w:cs="Arial"/>
          <w:iCs/>
          <w:lang w:eastAsia="en-US"/>
        </w:rPr>
      </w:pPr>
    </w:p>
    <w:p w14:paraId="583E3789" w14:textId="53EA0E11" w:rsidR="00DE299A" w:rsidRPr="00DE299A" w:rsidRDefault="00DE299A" w:rsidP="00313926">
      <w:pPr>
        <w:numPr>
          <w:ilvl w:val="1"/>
          <w:numId w:val="12"/>
        </w:numPr>
        <w:tabs>
          <w:tab w:val="left" w:pos="851"/>
          <w:tab w:val="left" w:pos="993"/>
        </w:tabs>
        <w:spacing w:after="0" w:line="240" w:lineRule="auto"/>
        <w:ind w:left="709" w:right="425" w:hanging="142"/>
        <w:contextualSpacing/>
        <w:jc w:val="both"/>
        <w:rPr>
          <w:rFonts w:eastAsia="Arial Unicode MS" w:cs="Arial"/>
          <w:lang w:eastAsia="en-US"/>
        </w:rPr>
      </w:pPr>
      <w:r w:rsidRPr="00DE299A">
        <w:rPr>
          <w:rFonts w:eastAsia="Arial Unicode MS" w:cs="Arial"/>
          <w:lang w:eastAsia="en-US"/>
        </w:rPr>
        <w:t>Établir les schémas de Lewis des molécules H</w:t>
      </w:r>
      <w:r w:rsidRPr="00DE299A">
        <w:rPr>
          <w:rFonts w:eastAsia="Arial Unicode MS" w:cs="Arial"/>
          <w:vertAlign w:val="subscript"/>
          <w:lang w:eastAsia="en-US"/>
        </w:rPr>
        <w:t>2</w:t>
      </w:r>
      <w:r w:rsidRPr="00DE299A">
        <w:rPr>
          <w:rFonts w:eastAsia="Arial Unicode MS" w:cs="Arial"/>
          <w:lang w:eastAsia="en-US"/>
        </w:rPr>
        <w:t>, O</w:t>
      </w:r>
      <w:r w:rsidRPr="00DE299A">
        <w:rPr>
          <w:rFonts w:eastAsia="Arial Unicode MS" w:cs="Arial"/>
          <w:vertAlign w:val="subscript"/>
          <w:lang w:eastAsia="en-US"/>
        </w:rPr>
        <w:t>2</w:t>
      </w:r>
      <w:r w:rsidRPr="00DE299A">
        <w:rPr>
          <w:rFonts w:eastAsia="Arial Unicode MS" w:cs="Arial"/>
          <w:lang w:eastAsia="en-US"/>
        </w:rPr>
        <w:t xml:space="preserve"> et H</w:t>
      </w:r>
      <w:r w:rsidRPr="00DE299A">
        <w:rPr>
          <w:rFonts w:eastAsia="Arial Unicode MS" w:cs="Arial"/>
          <w:vertAlign w:val="subscript"/>
          <w:lang w:eastAsia="en-US"/>
        </w:rPr>
        <w:t>2</w:t>
      </w:r>
      <w:r w:rsidRPr="00DE299A">
        <w:rPr>
          <w:rFonts w:eastAsia="Arial Unicode MS" w:cs="Arial"/>
          <w:lang w:eastAsia="en-US"/>
        </w:rPr>
        <w:t>O.</w:t>
      </w:r>
    </w:p>
    <w:p w14:paraId="2D914227" w14:textId="318BA678" w:rsidR="00DE299A" w:rsidRPr="00DE299A" w:rsidRDefault="00DE299A" w:rsidP="00313926">
      <w:pPr>
        <w:numPr>
          <w:ilvl w:val="1"/>
          <w:numId w:val="12"/>
        </w:numPr>
        <w:tabs>
          <w:tab w:val="left" w:pos="567"/>
          <w:tab w:val="left" w:pos="851"/>
          <w:tab w:val="left" w:pos="993"/>
        </w:tabs>
        <w:spacing w:after="0" w:line="240" w:lineRule="auto"/>
        <w:ind w:left="709" w:right="425" w:hanging="142"/>
        <w:contextualSpacing/>
        <w:jc w:val="both"/>
        <w:rPr>
          <w:rFonts w:eastAsia="Arial Unicode MS" w:cs="Arial"/>
          <w:lang w:eastAsia="en-US"/>
        </w:rPr>
      </w:pPr>
      <w:r w:rsidRPr="00DE299A">
        <w:rPr>
          <w:rFonts w:eastAsia="Arial Unicode MS" w:cs="Arial"/>
          <w:lang w:eastAsia="en-US"/>
        </w:rPr>
        <w:t>Identifier la nature et le nombre de liaisons rompues et formées au cours de la combustion du dihydrogène.</w:t>
      </w:r>
    </w:p>
    <w:p w14:paraId="38A39B86" w14:textId="77777777" w:rsidR="00DE299A" w:rsidRPr="00DE299A" w:rsidRDefault="00DE299A" w:rsidP="00313926">
      <w:pPr>
        <w:numPr>
          <w:ilvl w:val="1"/>
          <w:numId w:val="12"/>
        </w:numPr>
        <w:tabs>
          <w:tab w:val="left" w:pos="567"/>
          <w:tab w:val="left" w:pos="851"/>
          <w:tab w:val="left" w:pos="993"/>
        </w:tabs>
        <w:spacing w:after="0" w:line="240" w:lineRule="auto"/>
        <w:ind w:left="709" w:right="425" w:hanging="142"/>
        <w:contextualSpacing/>
        <w:jc w:val="both"/>
        <w:rPr>
          <w:rFonts w:eastAsia="Arial Unicode MS" w:cs="Arial"/>
          <w:lang w:eastAsia="en-US"/>
        </w:rPr>
      </w:pPr>
      <w:r w:rsidRPr="00DE299A">
        <w:rPr>
          <w:rFonts w:eastAsia="Arial Unicode MS" w:cs="Arial"/>
          <w:bCs/>
          <w:lang w:eastAsia="en-US"/>
        </w:rPr>
        <w:t>Combien de tonnes de TNT produiraient une énergie équivalente lors de son explosion à celle produite par l’explosion du dihydrogène contenu dans l’Hindenburg ?</w:t>
      </w:r>
    </w:p>
    <w:p w14:paraId="779236D9" w14:textId="77777777" w:rsidR="00DE299A" w:rsidRPr="00DE299A" w:rsidRDefault="00DE299A" w:rsidP="00DE299A">
      <w:pPr>
        <w:tabs>
          <w:tab w:val="left" w:pos="567"/>
        </w:tabs>
        <w:autoSpaceDE w:val="0"/>
        <w:autoSpaceDN w:val="0"/>
        <w:adjustRightInd w:val="0"/>
        <w:spacing w:after="0" w:line="240" w:lineRule="auto"/>
        <w:ind w:left="567" w:right="425"/>
        <w:contextualSpacing/>
        <w:rPr>
          <w:rFonts w:eastAsiaTheme="minorHAnsi" w:cs="Arial"/>
          <w:i/>
          <w:iCs/>
          <w:lang w:eastAsia="en-US"/>
        </w:rPr>
      </w:pPr>
    </w:p>
    <w:p w14:paraId="37325506" w14:textId="557E12DF" w:rsidR="00DE299A" w:rsidRPr="00DE299A" w:rsidRDefault="00DE299A" w:rsidP="00313926">
      <w:pPr>
        <w:tabs>
          <w:tab w:val="left" w:pos="567"/>
        </w:tabs>
        <w:autoSpaceDE w:val="0"/>
        <w:autoSpaceDN w:val="0"/>
        <w:adjustRightInd w:val="0"/>
        <w:spacing w:after="0" w:line="240" w:lineRule="auto"/>
        <w:ind w:left="567" w:right="425"/>
        <w:contextualSpacing/>
        <w:jc w:val="both"/>
        <w:rPr>
          <w:rFonts w:eastAsiaTheme="minorHAnsi" w:cs="Arial"/>
          <w:i/>
          <w:iCs/>
          <w:lang w:eastAsia="en-US"/>
        </w:rPr>
      </w:pPr>
      <w:r w:rsidRPr="00DE299A">
        <w:rPr>
          <w:rFonts w:eastAsiaTheme="minorHAnsi" w:cs="Arial"/>
          <w:i/>
          <w:iCs/>
          <w:lang w:eastAsia="en-US"/>
        </w:rPr>
        <w:t>Le candidat est invité à prendre des initiatives et à présenter la démarche suivie même si elle n’a pas abouti.</w:t>
      </w:r>
      <w:r w:rsidRPr="00DE299A">
        <w:rPr>
          <w:rFonts w:eastAsia="Arial Unicode MS" w:cs="Arial"/>
          <w:b/>
          <w:lang w:eastAsia="en-US"/>
        </w:rPr>
        <w:br w:type="page"/>
      </w:r>
    </w:p>
    <w:p w14:paraId="20F49555" w14:textId="77777777" w:rsidR="00DE299A" w:rsidRPr="00DE299A" w:rsidRDefault="00DE299A" w:rsidP="00DE299A">
      <w:pPr>
        <w:spacing w:after="0" w:line="240" w:lineRule="auto"/>
        <w:ind w:left="0"/>
        <w:jc w:val="center"/>
        <w:rPr>
          <w:rFonts w:eastAsia="Arial Unicode MS" w:cs="Arial"/>
          <w:b/>
          <w:lang w:eastAsia="en-US"/>
        </w:rPr>
      </w:pPr>
      <w:r w:rsidRPr="00DE299A">
        <w:rPr>
          <w:rFonts w:eastAsia="Arial Unicode MS" w:cs="Arial"/>
          <w:b/>
          <w:lang w:eastAsia="en-US"/>
        </w:rPr>
        <w:lastRenderedPageBreak/>
        <w:t>ANNEXE A RENDRE AVEC LA COPIE</w:t>
      </w:r>
    </w:p>
    <w:p w14:paraId="6211A2A9" w14:textId="77777777" w:rsidR="00DE299A" w:rsidRPr="00DE299A" w:rsidRDefault="00DE299A" w:rsidP="00DE299A">
      <w:pPr>
        <w:spacing w:after="0" w:line="240" w:lineRule="auto"/>
        <w:ind w:left="0"/>
        <w:rPr>
          <w:rFonts w:eastAsiaTheme="minorHAnsi" w:cs="Arial"/>
          <w:lang w:eastAsia="en-US"/>
        </w:rPr>
      </w:pPr>
    </w:p>
    <w:p w14:paraId="599A23DB" w14:textId="77777777" w:rsidR="00DE299A" w:rsidRPr="00DE299A" w:rsidRDefault="00DE299A" w:rsidP="00DE299A">
      <w:pPr>
        <w:spacing w:after="0" w:line="240" w:lineRule="auto"/>
        <w:ind w:left="0"/>
        <w:rPr>
          <w:rFonts w:eastAsia="Arial Unicode MS" w:cs="Arial"/>
          <w:b/>
          <w:bCs/>
          <w:lang w:eastAsia="en-US"/>
        </w:rPr>
      </w:pPr>
    </w:p>
    <w:p w14:paraId="095E6912" w14:textId="77777777" w:rsidR="00DE299A" w:rsidRPr="00DE299A" w:rsidRDefault="00DE299A" w:rsidP="00DE299A">
      <w:pPr>
        <w:spacing w:after="0" w:line="240" w:lineRule="auto"/>
        <w:ind w:left="0"/>
        <w:rPr>
          <w:rFonts w:eastAsia="Arial Unicode MS" w:cs="Arial"/>
          <w:b/>
          <w:bCs/>
          <w:lang w:eastAsia="en-US"/>
        </w:rPr>
      </w:pPr>
      <w:r w:rsidRPr="00DE299A">
        <w:rPr>
          <w:rFonts w:eastAsia="Arial Unicode MS" w:cs="Arial"/>
          <w:b/>
          <w:bCs/>
          <w:lang w:eastAsia="en-US"/>
        </w:rPr>
        <w:t xml:space="preserve">Question 1.5 : </w:t>
      </w:r>
    </w:p>
    <w:p w14:paraId="05F18938" w14:textId="77777777" w:rsidR="00DE299A" w:rsidRPr="00DE299A" w:rsidRDefault="00DE299A" w:rsidP="00DE299A">
      <w:pPr>
        <w:spacing w:after="0" w:line="240" w:lineRule="auto"/>
        <w:ind w:left="0"/>
        <w:rPr>
          <w:rFonts w:eastAsia="Arial Unicode MS" w:cs="Arial"/>
          <w:b/>
          <w:bCs/>
          <w:lang w:eastAsia="en-US"/>
        </w:rPr>
      </w:pPr>
    </w:p>
    <w:p w14:paraId="1E29ED3B" w14:textId="77777777" w:rsidR="00DE299A" w:rsidRPr="00DE299A" w:rsidRDefault="00DE299A" w:rsidP="00DE299A">
      <w:pPr>
        <w:spacing w:after="0" w:line="240" w:lineRule="auto"/>
        <w:ind w:left="0"/>
        <w:rPr>
          <w:rFonts w:eastAsiaTheme="minorHAnsi" w:cs="Arial"/>
          <w:b/>
          <w:u w:val="single"/>
          <w:lang w:eastAsia="en-US"/>
        </w:rPr>
      </w:pPr>
    </w:p>
    <w:tbl>
      <w:tblPr>
        <w:tblStyle w:val="Grilledutableau1"/>
        <w:tblW w:w="9923" w:type="dxa"/>
        <w:tblInd w:w="-5" w:type="dxa"/>
        <w:tblLook w:val="04A0" w:firstRow="1" w:lastRow="0" w:firstColumn="1" w:lastColumn="0" w:noHBand="0" w:noVBand="1"/>
      </w:tblPr>
      <w:tblGrid>
        <w:gridCol w:w="1910"/>
        <w:gridCol w:w="1819"/>
        <w:gridCol w:w="1658"/>
        <w:gridCol w:w="1559"/>
        <w:gridCol w:w="1701"/>
        <w:gridCol w:w="1276"/>
      </w:tblGrid>
      <w:tr w:rsidR="00DE299A" w:rsidRPr="00DE299A" w14:paraId="4CE1381B" w14:textId="77777777" w:rsidTr="00313926">
        <w:tc>
          <w:tcPr>
            <w:tcW w:w="3729" w:type="dxa"/>
            <w:gridSpan w:val="2"/>
            <w:vAlign w:val="center"/>
          </w:tcPr>
          <w:p w14:paraId="497EB9A3" w14:textId="77777777" w:rsidR="00DE299A" w:rsidRPr="00DE299A" w:rsidRDefault="00DE299A" w:rsidP="00DE299A">
            <w:pPr>
              <w:spacing w:after="0" w:line="240" w:lineRule="auto"/>
              <w:ind w:left="0"/>
              <w:rPr>
                <w:rFonts w:ascii="Arial" w:eastAsia="Arial Unicode MS" w:hAnsi="Arial" w:cs="Arial"/>
                <w:b/>
                <w:bCs/>
              </w:rPr>
            </w:pPr>
            <w:r w:rsidRPr="00DE299A">
              <w:rPr>
                <w:rFonts w:ascii="Arial" w:eastAsia="Arial Unicode MS" w:hAnsi="Arial" w:cs="Arial"/>
                <w:b/>
                <w:bCs/>
              </w:rPr>
              <w:t>Équation de la réaction </w:t>
            </w:r>
          </w:p>
        </w:tc>
        <w:tc>
          <w:tcPr>
            <w:tcW w:w="6194" w:type="dxa"/>
            <w:gridSpan w:val="4"/>
            <w:vAlign w:val="center"/>
          </w:tcPr>
          <w:p w14:paraId="1DA48DD0" w14:textId="77777777" w:rsidR="00DE299A" w:rsidRPr="00DE299A" w:rsidRDefault="00DE299A" w:rsidP="00DE299A">
            <w:pPr>
              <w:spacing w:after="0" w:line="240" w:lineRule="auto"/>
              <w:ind w:left="0"/>
              <w:rPr>
                <w:rFonts w:ascii="Arial" w:eastAsia="Arial Unicode MS" w:hAnsi="Arial" w:cs="Arial"/>
                <w:b/>
                <w:bCs/>
                <w:vertAlign w:val="subscript"/>
                <w:lang w:val="en-US"/>
              </w:rPr>
            </w:pPr>
            <w:r w:rsidRPr="00DE299A">
              <w:rPr>
                <w:rFonts w:ascii="Arial" w:eastAsia="Arial Unicode MS" w:hAnsi="Arial" w:cs="Arial"/>
                <w:b/>
                <w:bCs/>
                <w:lang w:val="en-US"/>
              </w:rPr>
              <w:t xml:space="preserve">      Mg</w:t>
            </w:r>
            <w:r w:rsidRPr="00DE299A">
              <w:rPr>
                <w:rFonts w:ascii="Arial" w:eastAsia="Arial Unicode MS" w:hAnsi="Arial" w:cs="Arial"/>
                <w:b/>
                <w:bCs/>
                <w:vertAlign w:val="subscript"/>
                <w:lang w:val="en-US"/>
              </w:rPr>
              <w:t xml:space="preserve">(s)        </w:t>
            </w:r>
            <w:r w:rsidRPr="00DE299A">
              <w:rPr>
                <w:rFonts w:ascii="Arial" w:eastAsia="Arial Unicode MS" w:hAnsi="Arial" w:cs="Arial"/>
                <w:b/>
                <w:bCs/>
                <w:lang w:val="en-US"/>
              </w:rPr>
              <w:t xml:space="preserve">  +       2  H</w:t>
            </w:r>
            <w:r w:rsidRPr="00DE299A">
              <w:rPr>
                <w:rFonts w:ascii="Arial" w:eastAsia="Arial Unicode MS" w:hAnsi="Arial" w:cs="Arial"/>
                <w:b/>
                <w:bCs/>
                <w:vertAlign w:val="superscript"/>
                <w:lang w:val="en-US"/>
              </w:rPr>
              <w:t>+</w:t>
            </w:r>
            <w:r w:rsidRPr="00DE299A">
              <w:rPr>
                <w:rFonts w:ascii="Arial" w:eastAsia="Arial Unicode MS" w:hAnsi="Arial" w:cs="Arial"/>
                <w:b/>
                <w:bCs/>
                <w:vertAlign w:val="subscript"/>
                <w:lang w:val="en-US"/>
              </w:rPr>
              <w:t>(</w:t>
            </w:r>
            <w:proofErr w:type="spellStart"/>
            <w:r w:rsidRPr="00DE299A">
              <w:rPr>
                <w:rFonts w:ascii="Arial" w:eastAsia="Arial Unicode MS" w:hAnsi="Arial" w:cs="Arial"/>
                <w:b/>
                <w:bCs/>
                <w:vertAlign w:val="subscript"/>
                <w:lang w:val="en-US"/>
              </w:rPr>
              <w:t>aq</w:t>
            </w:r>
            <w:proofErr w:type="spellEnd"/>
            <w:r w:rsidRPr="00DE299A">
              <w:rPr>
                <w:rFonts w:ascii="Arial" w:eastAsia="Arial Unicode MS" w:hAnsi="Arial" w:cs="Arial"/>
                <w:b/>
                <w:bCs/>
                <w:vertAlign w:val="subscript"/>
                <w:lang w:val="en-US"/>
              </w:rPr>
              <w:t xml:space="preserve">)   </w:t>
            </w:r>
            <w:r w:rsidRPr="00DE299A">
              <w:rPr>
                <w:rFonts w:ascii="Arial" w:eastAsia="Arial Unicode MS" w:hAnsi="Arial" w:cs="Arial"/>
                <w:b/>
                <w:bCs/>
                <w:lang w:val="en-US"/>
              </w:rPr>
              <w:t>→      Mg</w:t>
            </w:r>
            <w:r w:rsidRPr="00DE299A">
              <w:rPr>
                <w:rFonts w:ascii="Arial" w:eastAsia="Arial Unicode MS" w:hAnsi="Arial" w:cs="Arial"/>
                <w:b/>
                <w:bCs/>
                <w:vertAlign w:val="superscript"/>
                <w:lang w:val="en-US"/>
              </w:rPr>
              <w:t>2+</w:t>
            </w:r>
            <w:r w:rsidRPr="00DE299A">
              <w:rPr>
                <w:rFonts w:ascii="Arial" w:eastAsia="Arial Unicode MS" w:hAnsi="Arial" w:cs="Arial"/>
                <w:b/>
                <w:bCs/>
                <w:vertAlign w:val="subscript"/>
                <w:lang w:val="en-US"/>
              </w:rPr>
              <w:t>(</w:t>
            </w:r>
            <w:proofErr w:type="spellStart"/>
            <w:r w:rsidRPr="00DE299A">
              <w:rPr>
                <w:rFonts w:ascii="Arial" w:eastAsia="Arial Unicode MS" w:hAnsi="Arial" w:cs="Arial"/>
                <w:b/>
                <w:bCs/>
                <w:vertAlign w:val="subscript"/>
                <w:lang w:val="en-US"/>
              </w:rPr>
              <w:t>aq</w:t>
            </w:r>
            <w:proofErr w:type="spellEnd"/>
            <w:r w:rsidRPr="00DE299A">
              <w:rPr>
                <w:rFonts w:ascii="Arial" w:eastAsia="Arial Unicode MS" w:hAnsi="Arial" w:cs="Arial"/>
                <w:b/>
                <w:bCs/>
                <w:vertAlign w:val="subscript"/>
                <w:lang w:val="en-US"/>
              </w:rPr>
              <w:t xml:space="preserve">)     </w:t>
            </w:r>
            <w:r w:rsidRPr="00DE299A">
              <w:rPr>
                <w:rFonts w:ascii="Arial" w:eastAsia="Arial Unicode MS" w:hAnsi="Arial" w:cs="Arial"/>
                <w:b/>
                <w:bCs/>
                <w:lang w:val="en-US"/>
              </w:rPr>
              <w:t>+         H</w:t>
            </w:r>
            <w:r w:rsidRPr="00DE299A">
              <w:rPr>
                <w:rFonts w:ascii="Arial" w:eastAsia="Arial Unicode MS" w:hAnsi="Arial" w:cs="Arial"/>
                <w:b/>
                <w:bCs/>
                <w:vertAlign w:val="subscript"/>
                <w:lang w:val="en-US"/>
              </w:rPr>
              <w:t>2(g)</w:t>
            </w:r>
          </w:p>
        </w:tc>
      </w:tr>
      <w:tr w:rsidR="00DE299A" w:rsidRPr="00DE299A" w14:paraId="42AB0E8E" w14:textId="77777777" w:rsidTr="00313926">
        <w:tc>
          <w:tcPr>
            <w:tcW w:w="1910" w:type="dxa"/>
            <w:vAlign w:val="center"/>
          </w:tcPr>
          <w:p w14:paraId="773251F3" w14:textId="77777777" w:rsidR="00DE299A" w:rsidRPr="00DE299A" w:rsidRDefault="00DE299A" w:rsidP="00DE299A">
            <w:pPr>
              <w:spacing w:after="0" w:line="240" w:lineRule="auto"/>
              <w:ind w:left="0"/>
              <w:rPr>
                <w:rFonts w:ascii="Arial" w:eastAsia="Arial Unicode MS" w:hAnsi="Arial" w:cs="Arial"/>
                <w:b/>
                <w:bCs/>
                <w:lang w:val="en-US"/>
              </w:rPr>
            </w:pPr>
            <w:r w:rsidRPr="00DE299A">
              <w:rPr>
                <w:rFonts w:ascii="Arial" w:eastAsia="Arial Unicode MS" w:hAnsi="Arial" w:cs="Arial"/>
                <w:b/>
                <w:bCs/>
                <w:lang w:val="en-US"/>
              </w:rPr>
              <w:t xml:space="preserve">État du </w:t>
            </w:r>
            <w:proofErr w:type="spellStart"/>
            <w:r w:rsidRPr="00DE299A">
              <w:rPr>
                <w:rFonts w:ascii="Arial" w:eastAsia="Arial Unicode MS" w:hAnsi="Arial" w:cs="Arial"/>
                <w:b/>
                <w:bCs/>
                <w:lang w:val="en-US"/>
              </w:rPr>
              <w:t>système</w:t>
            </w:r>
            <w:proofErr w:type="spellEnd"/>
          </w:p>
        </w:tc>
        <w:tc>
          <w:tcPr>
            <w:tcW w:w="1819" w:type="dxa"/>
            <w:vAlign w:val="center"/>
          </w:tcPr>
          <w:p w14:paraId="607ED7ED" w14:textId="77777777" w:rsidR="00DE299A" w:rsidRPr="00DE299A" w:rsidRDefault="00DE299A" w:rsidP="00DE299A">
            <w:pPr>
              <w:spacing w:after="0" w:line="240" w:lineRule="auto"/>
              <w:ind w:left="0"/>
              <w:jc w:val="center"/>
              <w:rPr>
                <w:rFonts w:ascii="Arial" w:eastAsia="Arial Unicode MS" w:hAnsi="Arial" w:cs="Arial"/>
                <w:b/>
                <w:bCs/>
                <w:lang w:val="en-US"/>
              </w:rPr>
            </w:pPr>
            <w:proofErr w:type="spellStart"/>
            <w:r w:rsidRPr="00DE299A">
              <w:rPr>
                <w:rFonts w:ascii="Arial" w:eastAsia="Arial Unicode MS" w:hAnsi="Arial" w:cs="Arial"/>
                <w:b/>
                <w:bCs/>
                <w:lang w:val="en-US"/>
              </w:rPr>
              <w:t>Avancement</w:t>
            </w:r>
            <w:proofErr w:type="spellEnd"/>
            <w:r w:rsidRPr="00DE299A">
              <w:rPr>
                <w:rFonts w:ascii="Arial" w:eastAsia="Arial Unicode MS" w:hAnsi="Arial" w:cs="Arial"/>
                <w:b/>
                <w:bCs/>
                <w:lang w:val="en-US"/>
              </w:rPr>
              <w:t xml:space="preserve"> (mol)</w:t>
            </w:r>
          </w:p>
        </w:tc>
        <w:tc>
          <w:tcPr>
            <w:tcW w:w="1658" w:type="dxa"/>
            <w:vAlign w:val="center"/>
          </w:tcPr>
          <w:p w14:paraId="7D2E9AA7" w14:textId="77777777" w:rsidR="00DE299A" w:rsidRPr="00DE299A" w:rsidRDefault="00DE299A" w:rsidP="00DE299A">
            <w:pPr>
              <w:spacing w:after="0" w:line="240" w:lineRule="auto"/>
              <w:ind w:left="0"/>
              <w:jc w:val="center"/>
              <w:rPr>
                <w:rFonts w:ascii="Arial" w:eastAsia="Arial Unicode MS" w:hAnsi="Arial" w:cs="Arial"/>
                <w:b/>
                <w:bCs/>
                <w:lang w:val="en-US"/>
              </w:rPr>
            </w:pPr>
            <w:r w:rsidRPr="00DE299A">
              <w:rPr>
                <w:rFonts w:ascii="Arial" w:eastAsia="Arial Unicode MS" w:hAnsi="Arial" w:cs="Arial"/>
                <w:b/>
                <w:bCs/>
                <w:lang w:val="en-US"/>
              </w:rPr>
              <w:t>n(Mg)</w:t>
            </w:r>
          </w:p>
        </w:tc>
        <w:tc>
          <w:tcPr>
            <w:tcW w:w="1559" w:type="dxa"/>
            <w:vAlign w:val="center"/>
          </w:tcPr>
          <w:p w14:paraId="7FEFE6A9" w14:textId="77777777" w:rsidR="00DE299A" w:rsidRPr="00DE299A" w:rsidRDefault="00DE299A" w:rsidP="00DE299A">
            <w:pPr>
              <w:spacing w:after="0" w:line="240" w:lineRule="auto"/>
              <w:ind w:left="0"/>
              <w:jc w:val="center"/>
              <w:rPr>
                <w:rFonts w:ascii="Arial" w:eastAsia="Arial Unicode MS" w:hAnsi="Arial" w:cs="Arial"/>
                <w:b/>
                <w:bCs/>
                <w:lang w:val="en-US"/>
              </w:rPr>
            </w:pPr>
            <w:r w:rsidRPr="00DE299A">
              <w:rPr>
                <w:rFonts w:ascii="Arial" w:eastAsia="Arial Unicode MS" w:hAnsi="Arial" w:cs="Arial"/>
                <w:b/>
                <w:bCs/>
                <w:lang w:val="en-US"/>
              </w:rPr>
              <w:t>n(H</w:t>
            </w:r>
            <w:r w:rsidRPr="00DE299A">
              <w:rPr>
                <w:rFonts w:ascii="Arial" w:eastAsia="Arial Unicode MS" w:hAnsi="Arial" w:cs="Arial"/>
                <w:b/>
                <w:bCs/>
                <w:vertAlign w:val="superscript"/>
                <w:lang w:val="en-US"/>
              </w:rPr>
              <w:t>+</w:t>
            </w:r>
            <w:r w:rsidRPr="00DE299A">
              <w:rPr>
                <w:rFonts w:ascii="Arial" w:eastAsia="Arial Unicode MS" w:hAnsi="Arial" w:cs="Arial"/>
                <w:b/>
                <w:bCs/>
                <w:lang w:val="en-US"/>
              </w:rPr>
              <w:t>)</w:t>
            </w:r>
          </w:p>
        </w:tc>
        <w:tc>
          <w:tcPr>
            <w:tcW w:w="1701" w:type="dxa"/>
            <w:vAlign w:val="center"/>
          </w:tcPr>
          <w:p w14:paraId="3170D41C" w14:textId="77777777" w:rsidR="00DE299A" w:rsidRPr="00DE299A" w:rsidRDefault="00DE299A" w:rsidP="00DE299A">
            <w:pPr>
              <w:spacing w:after="0" w:line="240" w:lineRule="auto"/>
              <w:ind w:left="0"/>
              <w:jc w:val="center"/>
              <w:rPr>
                <w:rFonts w:ascii="Arial" w:eastAsia="Arial Unicode MS" w:hAnsi="Arial" w:cs="Arial"/>
                <w:b/>
                <w:bCs/>
                <w:lang w:val="en-US"/>
              </w:rPr>
            </w:pPr>
            <w:r w:rsidRPr="00DE299A">
              <w:rPr>
                <w:rFonts w:ascii="Arial" w:eastAsia="Arial Unicode MS" w:hAnsi="Arial" w:cs="Arial"/>
                <w:b/>
                <w:bCs/>
                <w:lang w:val="en-US"/>
              </w:rPr>
              <w:t>n(Mg</w:t>
            </w:r>
            <w:r w:rsidRPr="00DE299A">
              <w:rPr>
                <w:rFonts w:ascii="Arial" w:eastAsia="Arial Unicode MS" w:hAnsi="Arial" w:cs="Arial"/>
                <w:b/>
                <w:bCs/>
                <w:vertAlign w:val="superscript"/>
                <w:lang w:val="en-US"/>
              </w:rPr>
              <w:t>2+</w:t>
            </w:r>
            <w:r w:rsidRPr="00DE299A">
              <w:rPr>
                <w:rFonts w:ascii="Arial" w:eastAsia="Arial Unicode MS" w:hAnsi="Arial" w:cs="Arial"/>
                <w:b/>
                <w:bCs/>
                <w:lang w:val="en-US"/>
              </w:rPr>
              <w:t>)</w:t>
            </w:r>
          </w:p>
        </w:tc>
        <w:tc>
          <w:tcPr>
            <w:tcW w:w="1276" w:type="dxa"/>
            <w:vAlign w:val="center"/>
          </w:tcPr>
          <w:p w14:paraId="5086139B" w14:textId="77777777" w:rsidR="00DE299A" w:rsidRPr="00DE299A" w:rsidRDefault="00DE299A" w:rsidP="00DE299A">
            <w:pPr>
              <w:spacing w:after="0" w:line="240" w:lineRule="auto"/>
              <w:ind w:left="0"/>
              <w:jc w:val="center"/>
              <w:rPr>
                <w:rFonts w:ascii="Arial" w:eastAsia="Arial Unicode MS" w:hAnsi="Arial" w:cs="Arial"/>
                <w:b/>
                <w:bCs/>
                <w:lang w:val="en-US"/>
              </w:rPr>
            </w:pPr>
            <w:r w:rsidRPr="00DE299A">
              <w:rPr>
                <w:rFonts w:ascii="Arial" w:eastAsia="Arial Unicode MS" w:hAnsi="Arial" w:cs="Arial"/>
                <w:b/>
                <w:bCs/>
                <w:lang w:val="en-US"/>
              </w:rPr>
              <w:t>n(H</w:t>
            </w:r>
            <w:r w:rsidRPr="00DE299A">
              <w:rPr>
                <w:rFonts w:ascii="Arial" w:eastAsia="Arial Unicode MS" w:hAnsi="Arial" w:cs="Arial"/>
                <w:b/>
                <w:bCs/>
                <w:vertAlign w:val="subscript"/>
                <w:lang w:val="en-US"/>
              </w:rPr>
              <w:t>2</w:t>
            </w:r>
            <w:r w:rsidRPr="00DE299A">
              <w:rPr>
                <w:rFonts w:ascii="Arial" w:eastAsia="Arial Unicode MS" w:hAnsi="Arial" w:cs="Arial"/>
                <w:b/>
                <w:bCs/>
                <w:lang w:val="en-US"/>
              </w:rPr>
              <w:t>)</w:t>
            </w:r>
          </w:p>
        </w:tc>
      </w:tr>
      <w:tr w:rsidR="00DE299A" w:rsidRPr="00DE299A" w14:paraId="2FAD44F6" w14:textId="77777777" w:rsidTr="00313926">
        <w:tc>
          <w:tcPr>
            <w:tcW w:w="1910" w:type="dxa"/>
            <w:vAlign w:val="center"/>
          </w:tcPr>
          <w:p w14:paraId="375A30FB" w14:textId="77777777" w:rsidR="00DE299A" w:rsidRPr="00DE299A" w:rsidRDefault="00DE299A" w:rsidP="00DE299A">
            <w:pPr>
              <w:spacing w:after="0" w:line="240" w:lineRule="auto"/>
              <w:ind w:left="0"/>
              <w:rPr>
                <w:rFonts w:ascii="Arial" w:eastAsia="Arial Unicode MS" w:hAnsi="Arial" w:cs="Arial"/>
                <w:b/>
                <w:bCs/>
                <w:lang w:val="en-US"/>
              </w:rPr>
            </w:pPr>
            <w:r w:rsidRPr="00DE299A">
              <w:rPr>
                <w:rFonts w:ascii="Arial" w:eastAsia="Arial Unicode MS" w:hAnsi="Arial" w:cs="Arial"/>
                <w:b/>
                <w:bCs/>
                <w:lang w:val="en-US"/>
              </w:rPr>
              <w:t>État initial</w:t>
            </w:r>
          </w:p>
        </w:tc>
        <w:tc>
          <w:tcPr>
            <w:tcW w:w="1819" w:type="dxa"/>
            <w:vAlign w:val="center"/>
          </w:tcPr>
          <w:p w14:paraId="1A15ED65" w14:textId="77777777" w:rsidR="00DE299A" w:rsidRPr="00DE299A" w:rsidRDefault="00DE299A" w:rsidP="00DE299A">
            <w:pPr>
              <w:spacing w:after="0" w:line="240" w:lineRule="auto"/>
              <w:ind w:left="0"/>
              <w:jc w:val="center"/>
              <w:rPr>
                <w:rFonts w:ascii="Arial" w:eastAsia="Arial Unicode MS" w:hAnsi="Arial" w:cs="Arial"/>
                <w:b/>
                <w:bCs/>
                <w:lang w:val="en-US"/>
              </w:rPr>
            </w:pPr>
            <w:r w:rsidRPr="00DE299A">
              <w:rPr>
                <w:rFonts w:ascii="Arial" w:eastAsia="Arial Unicode MS" w:hAnsi="Arial" w:cs="Arial"/>
                <w:b/>
                <w:bCs/>
                <w:lang w:val="en-US"/>
              </w:rPr>
              <w:t>0</w:t>
            </w:r>
          </w:p>
        </w:tc>
        <w:tc>
          <w:tcPr>
            <w:tcW w:w="1658" w:type="dxa"/>
            <w:vAlign w:val="center"/>
          </w:tcPr>
          <w:p w14:paraId="5640F7DC" w14:textId="77777777" w:rsidR="00DE299A" w:rsidRPr="00DE299A" w:rsidRDefault="00DE299A" w:rsidP="00DE299A">
            <w:pPr>
              <w:spacing w:after="0" w:line="240" w:lineRule="auto"/>
              <w:ind w:left="0"/>
              <w:rPr>
                <w:rFonts w:ascii="Arial" w:eastAsia="Arial Unicode MS" w:hAnsi="Arial" w:cs="Arial"/>
                <w:lang w:val="en-US"/>
              </w:rPr>
            </w:pPr>
          </w:p>
          <w:p w14:paraId="1571874B" w14:textId="77777777" w:rsidR="00DE299A" w:rsidRPr="00DE299A" w:rsidRDefault="00DE299A" w:rsidP="00DE299A">
            <w:pPr>
              <w:spacing w:after="0" w:line="240" w:lineRule="auto"/>
              <w:ind w:left="0"/>
              <w:rPr>
                <w:rFonts w:ascii="Arial" w:eastAsia="Arial Unicode MS" w:hAnsi="Arial" w:cs="Arial"/>
                <w:lang w:val="en-US"/>
              </w:rPr>
            </w:pPr>
          </w:p>
        </w:tc>
        <w:tc>
          <w:tcPr>
            <w:tcW w:w="1559" w:type="dxa"/>
            <w:vAlign w:val="center"/>
          </w:tcPr>
          <w:p w14:paraId="3F600FF4" w14:textId="77777777" w:rsidR="00DE299A" w:rsidRPr="00DE299A" w:rsidRDefault="00DE299A" w:rsidP="00DE299A">
            <w:pPr>
              <w:spacing w:after="0" w:line="240" w:lineRule="auto"/>
              <w:ind w:left="0"/>
              <w:rPr>
                <w:rFonts w:ascii="Arial" w:eastAsia="Arial Unicode MS" w:hAnsi="Arial" w:cs="Arial"/>
                <w:lang w:val="en-US"/>
              </w:rPr>
            </w:pPr>
          </w:p>
        </w:tc>
        <w:tc>
          <w:tcPr>
            <w:tcW w:w="1701" w:type="dxa"/>
            <w:vAlign w:val="center"/>
          </w:tcPr>
          <w:p w14:paraId="6350D6F6" w14:textId="77777777" w:rsidR="00DE299A" w:rsidRPr="00DE299A" w:rsidRDefault="00DE299A" w:rsidP="00DE299A">
            <w:pPr>
              <w:spacing w:after="0" w:line="240" w:lineRule="auto"/>
              <w:ind w:left="0"/>
              <w:rPr>
                <w:rFonts w:ascii="Arial" w:eastAsia="Arial Unicode MS" w:hAnsi="Arial" w:cs="Arial"/>
                <w:lang w:val="en-US"/>
              </w:rPr>
            </w:pPr>
          </w:p>
        </w:tc>
        <w:tc>
          <w:tcPr>
            <w:tcW w:w="1276" w:type="dxa"/>
            <w:vAlign w:val="center"/>
          </w:tcPr>
          <w:p w14:paraId="2F53749C" w14:textId="77777777" w:rsidR="00DE299A" w:rsidRPr="00DE299A" w:rsidRDefault="00DE299A" w:rsidP="00DE299A">
            <w:pPr>
              <w:spacing w:after="0" w:line="240" w:lineRule="auto"/>
              <w:ind w:left="0"/>
              <w:rPr>
                <w:rFonts w:ascii="Arial" w:eastAsia="Arial Unicode MS" w:hAnsi="Arial" w:cs="Arial"/>
                <w:lang w:val="en-US"/>
              </w:rPr>
            </w:pPr>
          </w:p>
        </w:tc>
      </w:tr>
      <w:tr w:rsidR="00DE299A" w:rsidRPr="00DE299A" w14:paraId="073E5495" w14:textId="77777777" w:rsidTr="00313926">
        <w:tc>
          <w:tcPr>
            <w:tcW w:w="1910" w:type="dxa"/>
            <w:vAlign w:val="center"/>
          </w:tcPr>
          <w:p w14:paraId="253B655D" w14:textId="77777777" w:rsidR="00DE299A" w:rsidRPr="00DE299A" w:rsidRDefault="00DE299A" w:rsidP="00DE299A">
            <w:pPr>
              <w:spacing w:after="0" w:line="240" w:lineRule="auto"/>
              <w:ind w:left="0"/>
              <w:rPr>
                <w:rFonts w:ascii="Arial" w:eastAsia="Arial Unicode MS" w:hAnsi="Arial" w:cs="Arial"/>
                <w:b/>
                <w:bCs/>
              </w:rPr>
            </w:pPr>
            <w:r w:rsidRPr="00DE299A">
              <w:rPr>
                <w:rFonts w:ascii="Arial" w:eastAsia="Arial Unicode MS" w:hAnsi="Arial" w:cs="Arial"/>
                <w:b/>
                <w:bCs/>
              </w:rPr>
              <w:t>État en cours de transformation</w:t>
            </w:r>
          </w:p>
        </w:tc>
        <w:tc>
          <w:tcPr>
            <w:tcW w:w="1819" w:type="dxa"/>
            <w:vAlign w:val="center"/>
          </w:tcPr>
          <w:p w14:paraId="72AC6C03" w14:textId="77777777" w:rsidR="00DE299A" w:rsidRPr="00DE299A" w:rsidRDefault="00DE299A" w:rsidP="00DE299A">
            <w:pPr>
              <w:spacing w:after="0" w:line="240" w:lineRule="auto"/>
              <w:ind w:left="0"/>
              <w:jc w:val="center"/>
              <w:rPr>
                <w:rFonts w:ascii="Arial" w:eastAsia="Arial Unicode MS" w:hAnsi="Arial" w:cs="Arial"/>
                <w:b/>
                <w:bCs/>
              </w:rPr>
            </w:pPr>
            <m:oMathPara>
              <m:oMath>
                <m:r>
                  <m:rPr>
                    <m:sty m:val="bi"/>
                  </m:rPr>
                  <w:rPr>
                    <w:rFonts w:ascii="Cambria Math" w:eastAsia="Arial Unicode MS" w:hAnsi="Cambria Math" w:cs="Arial"/>
                  </w:rPr>
                  <m:t>x</m:t>
                </m:r>
              </m:oMath>
            </m:oMathPara>
          </w:p>
        </w:tc>
        <w:tc>
          <w:tcPr>
            <w:tcW w:w="1658" w:type="dxa"/>
            <w:vAlign w:val="center"/>
          </w:tcPr>
          <w:p w14:paraId="5BB89704" w14:textId="77777777" w:rsidR="00DE299A" w:rsidRPr="00DE299A" w:rsidRDefault="00DE299A" w:rsidP="00DE299A">
            <w:pPr>
              <w:spacing w:after="0" w:line="240" w:lineRule="auto"/>
              <w:ind w:left="0"/>
              <w:rPr>
                <w:rFonts w:ascii="Arial" w:eastAsia="Arial Unicode MS" w:hAnsi="Arial" w:cs="Arial"/>
              </w:rPr>
            </w:pPr>
          </w:p>
        </w:tc>
        <w:tc>
          <w:tcPr>
            <w:tcW w:w="1559" w:type="dxa"/>
            <w:vAlign w:val="center"/>
          </w:tcPr>
          <w:p w14:paraId="53864BE5" w14:textId="77777777" w:rsidR="00DE299A" w:rsidRPr="00DE299A" w:rsidRDefault="00DE299A" w:rsidP="00DE299A">
            <w:pPr>
              <w:spacing w:after="0" w:line="240" w:lineRule="auto"/>
              <w:ind w:left="0"/>
              <w:rPr>
                <w:rFonts w:ascii="Arial" w:eastAsia="Arial Unicode MS" w:hAnsi="Arial" w:cs="Arial"/>
              </w:rPr>
            </w:pPr>
          </w:p>
        </w:tc>
        <w:tc>
          <w:tcPr>
            <w:tcW w:w="1701" w:type="dxa"/>
            <w:vAlign w:val="center"/>
          </w:tcPr>
          <w:p w14:paraId="621A690E" w14:textId="77777777" w:rsidR="00DE299A" w:rsidRPr="00DE299A" w:rsidRDefault="00DE299A" w:rsidP="00DE299A">
            <w:pPr>
              <w:spacing w:after="0" w:line="240" w:lineRule="auto"/>
              <w:ind w:left="0"/>
              <w:rPr>
                <w:rFonts w:ascii="Arial" w:eastAsia="Arial Unicode MS" w:hAnsi="Arial" w:cs="Arial"/>
              </w:rPr>
            </w:pPr>
          </w:p>
        </w:tc>
        <w:tc>
          <w:tcPr>
            <w:tcW w:w="1276" w:type="dxa"/>
            <w:vAlign w:val="center"/>
          </w:tcPr>
          <w:p w14:paraId="2A3D2843" w14:textId="77777777" w:rsidR="00DE299A" w:rsidRPr="00DE299A" w:rsidRDefault="00DE299A" w:rsidP="00DE299A">
            <w:pPr>
              <w:spacing w:after="0" w:line="240" w:lineRule="auto"/>
              <w:ind w:left="0"/>
              <w:rPr>
                <w:rFonts w:ascii="Arial" w:eastAsia="Arial Unicode MS" w:hAnsi="Arial" w:cs="Arial"/>
              </w:rPr>
            </w:pPr>
          </w:p>
        </w:tc>
      </w:tr>
      <w:tr w:rsidR="00DE299A" w:rsidRPr="00DE299A" w14:paraId="19B3D77A" w14:textId="77777777" w:rsidTr="00313926">
        <w:tc>
          <w:tcPr>
            <w:tcW w:w="1910" w:type="dxa"/>
            <w:vAlign w:val="center"/>
          </w:tcPr>
          <w:p w14:paraId="7D3F7B1E" w14:textId="77777777" w:rsidR="00DE299A" w:rsidRPr="00DE299A" w:rsidRDefault="00DE299A" w:rsidP="00DE299A">
            <w:pPr>
              <w:spacing w:after="0" w:line="240" w:lineRule="auto"/>
              <w:ind w:left="0"/>
              <w:rPr>
                <w:rFonts w:ascii="Arial" w:eastAsia="Arial Unicode MS" w:hAnsi="Arial" w:cs="Arial"/>
                <w:b/>
                <w:bCs/>
                <w:lang w:val="en-US"/>
              </w:rPr>
            </w:pPr>
            <w:r w:rsidRPr="00DE299A">
              <w:rPr>
                <w:rFonts w:ascii="Arial" w:eastAsia="Arial Unicode MS" w:hAnsi="Arial" w:cs="Arial"/>
                <w:b/>
                <w:bCs/>
                <w:lang w:val="en-US"/>
              </w:rPr>
              <w:t>État final</w:t>
            </w:r>
          </w:p>
        </w:tc>
        <w:tc>
          <w:tcPr>
            <w:tcW w:w="1819" w:type="dxa"/>
            <w:vAlign w:val="center"/>
          </w:tcPr>
          <w:p w14:paraId="07632770" w14:textId="77777777" w:rsidR="00DE299A" w:rsidRPr="00DE299A" w:rsidRDefault="003E18AE" w:rsidP="00DE299A">
            <w:pPr>
              <w:spacing w:after="0" w:line="240" w:lineRule="auto"/>
              <w:ind w:left="0"/>
              <w:jc w:val="center"/>
              <w:rPr>
                <w:rFonts w:ascii="Arial" w:eastAsia="Arial Unicode MS" w:hAnsi="Arial" w:cs="Arial"/>
                <w:b/>
                <w:bCs/>
              </w:rPr>
            </w:pPr>
            <m:oMathPara>
              <m:oMath>
                <m:sSub>
                  <m:sSubPr>
                    <m:ctrlPr>
                      <w:rPr>
                        <w:rFonts w:ascii="Cambria Math" w:eastAsia="Arial Unicode MS" w:hAnsi="Cambria Math" w:cs="Arial"/>
                        <w:b/>
                        <w:bCs/>
                        <w:i/>
                      </w:rPr>
                    </m:ctrlPr>
                  </m:sSubPr>
                  <m:e>
                    <m:r>
                      <m:rPr>
                        <m:sty m:val="bi"/>
                      </m:rPr>
                      <w:rPr>
                        <w:rFonts w:ascii="Cambria Math" w:eastAsia="Arial Unicode MS" w:hAnsi="Cambria Math" w:cs="Arial"/>
                      </w:rPr>
                      <m:t>x</m:t>
                    </m:r>
                  </m:e>
                  <m:sub>
                    <m:r>
                      <m:rPr>
                        <m:sty m:val="bi"/>
                      </m:rPr>
                      <w:rPr>
                        <w:rFonts w:ascii="Cambria Math" w:eastAsia="Arial Unicode MS" w:hAnsi="Cambria Math" w:cs="Arial"/>
                      </w:rPr>
                      <m:t>max</m:t>
                    </m:r>
                  </m:sub>
                </m:sSub>
              </m:oMath>
            </m:oMathPara>
          </w:p>
        </w:tc>
        <w:tc>
          <w:tcPr>
            <w:tcW w:w="1658" w:type="dxa"/>
            <w:vAlign w:val="center"/>
          </w:tcPr>
          <w:p w14:paraId="01EC98A2" w14:textId="77777777" w:rsidR="00DE299A" w:rsidRPr="00DE299A" w:rsidRDefault="00DE299A" w:rsidP="00DE299A">
            <w:pPr>
              <w:spacing w:after="0" w:line="240" w:lineRule="auto"/>
              <w:ind w:left="0"/>
              <w:rPr>
                <w:rFonts w:ascii="Arial" w:eastAsia="Arial Unicode MS" w:hAnsi="Arial" w:cs="Arial"/>
              </w:rPr>
            </w:pPr>
          </w:p>
          <w:p w14:paraId="6CA82104" w14:textId="77777777" w:rsidR="00DE299A" w:rsidRPr="00DE299A" w:rsidRDefault="00DE299A" w:rsidP="00DE299A">
            <w:pPr>
              <w:spacing w:after="0" w:line="240" w:lineRule="auto"/>
              <w:ind w:left="0"/>
              <w:rPr>
                <w:rFonts w:ascii="Arial" w:eastAsia="Arial Unicode MS" w:hAnsi="Arial" w:cs="Arial"/>
              </w:rPr>
            </w:pPr>
          </w:p>
        </w:tc>
        <w:tc>
          <w:tcPr>
            <w:tcW w:w="1559" w:type="dxa"/>
            <w:vAlign w:val="center"/>
          </w:tcPr>
          <w:p w14:paraId="09079011" w14:textId="77777777" w:rsidR="00DE299A" w:rsidRPr="00DE299A" w:rsidRDefault="00DE299A" w:rsidP="00DE299A">
            <w:pPr>
              <w:spacing w:after="0" w:line="240" w:lineRule="auto"/>
              <w:ind w:left="0"/>
              <w:rPr>
                <w:rFonts w:ascii="Arial" w:eastAsia="Arial Unicode MS" w:hAnsi="Arial" w:cs="Arial"/>
              </w:rPr>
            </w:pPr>
          </w:p>
        </w:tc>
        <w:tc>
          <w:tcPr>
            <w:tcW w:w="1701" w:type="dxa"/>
            <w:vAlign w:val="center"/>
          </w:tcPr>
          <w:p w14:paraId="022E9F17" w14:textId="77777777" w:rsidR="00DE299A" w:rsidRPr="00DE299A" w:rsidRDefault="00DE299A" w:rsidP="00DE299A">
            <w:pPr>
              <w:spacing w:after="0" w:line="240" w:lineRule="auto"/>
              <w:ind w:left="0"/>
              <w:rPr>
                <w:rFonts w:ascii="Arial" w:eastAsia="Arial Unicode MS" w:hAnsi="Arial" w:cs="Arial"/>
              </w:rPr>
            </w:pPr>
          </w:p>
        </w:tc>
        <w:tc>
          <w:tcPr>
            <w:tcW w:w="1276" w:type="dxa"/>
            <w:vAlign w:val="center"/>
          </w:tcPr>
          <w:p w14:paraId="5199F0B3" w14:textId="77777777" w:rsidR="00DE299A" w:rsidRPr="00DE299A" w:rsidRDefault="00DE299A" w:rsidP="00DE299A">
            <w:pPr>
              <w:spacing w:after="0" w:line="240" w:lineRule="auto"/>
              <w:ind w:left="0"/>
              <w:rPr>
                <w:rFonts w:ascii="Arial" w:eastAsia="Arial Unicode MS" w:hAnsi="Arial" w:cs="Arial"/>
              </w:rPr>
            </w:pPr>
          </w:p>
        </w:tc>
      </w:tr>
    </w:tbl>
    <w:p w14:paraId="235E22A3" w14:textId="77777777" w:rsidR="00DE299A" w:rsidRPr="00DE299A" w:rsidRDefault="00DE299A" w:rsidP="00DE299A">
      <w:pPr>
        <w:spacing w:after="0" w:line="240" w:lineRule="auto"/>
        <w:ind w:left="0"/>
        <w:rPr>
          <w:rFonts w:eastAsiaTheme="minorHAnsi" w:cs="Arial"/>
          <w:lang w:eastAsia="en-US"/>
        </w:rPr>
      </w:pPr>
    </w:p>
    <w:sectPr w:rsidR="00DE299A" w:rsidRPr="00DE299A" w:rsidSect="0033103C">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6632" w14:textId="77777777" w:rsidR="002426BD" w:rsidRDefault="002426BD" w:rsidP="0053612B">
      <w:pPr>
        <w:spacing w:after="0" w:line="240" w:lineRule="auto"/>
      </w:pPr>
      <w:r>
        <w:separator/>
      </w:r>
    </w:p>
  </w:endnote>
  <w:endnote w:type="continuationSeparator" w:id="0">
    <w:p w14:paraId="1BC8B0F9" w14:textId="77777777" w:rsidR="002426BD" w:rsidRDefault="002426BD"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B8D7" w14:textId="77777777" w:rsidR="002426BD" w:rsidRDefault="002426BD" w:rsidP="0053612B">
      <w:pPr>
        <w:spacing w:after="0" w:line="240" w:lineRule="auto"/>
      </w:pPr>
      <w:r>
        <w:separator/>
      </w:r>
    </w:p>
  </w:footnote>
  <w:footnote w:type="continuationSeparator" w:id="0">
    <w:p w14:paraId="4050F38C" w14:textId="77777777" w:rsidR="002426BD" w:rsidRDefault="002426BD"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4F2"/>
    <w:multiLevelType w:val="multilevel"/>
    <w:tmpl w:val="B764EB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B2539"/>
    <w:multiLevelType w:val="multilevel"/>
    <w:tmpl w:val="5C88695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A54D6A"/>
    <w:multiLevelType w:val="multilevel"/>
    <w:tmpl w:val="E6FE4F4C"/>
    <w:lvl w:ilvl="0">
      <w:start w:val="1"/>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25CF26EB"/>
    <w:multiLevelType w:val="hybridMultilevel"/>
    <w:tmpl w:val="608899C0"/>
    <w:lvl w:ilvl="0" w:tplc="10F28D8A">
      <w:start w:val="2"/>
      <w:numFmt w:val="bullet"/>
      <w:lvlText w:val="-"/>
      <w:lvlJc w:val="left"/>
      <w:pPr>
        <w:ind w:left="927" w:hanging="360"/>
      </w:pPr>
      <w:rPr>
        <w:rFonts w:ascii="Arial" w:eastAsia="Arial Unicode MS"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FF340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041FD"/>
    <w:multiLevelType w:val="multilevel"/>
    <w:tmpl w:val="9C807CEC"/>
    <w:lvl w:ilvl="0">
      <w:start w:val="1"/>
      <w:numFmt w:val="bullet"/>
      <w:lvlText w:val=""/>
      <w:lvlJc w:val="left"/>
      <w:pPr>
        <w:ind w:left="780" w:hanging="360"/>
      </w:pPr>
      <w:rPr>
        <w:rFonts w:ascii="Wingdings" w:hAnsi="Wingdings" w:cs="Wingdings"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377C5E69"/>
    <w:multiLevelType w:val="multilevel"/>
    <w:tmpl w:val="023C29FC"/>
    <w:lvl w:ilvl="0">
      <w:start w:val="2"/>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4B901471"/>
    <w:multiLevelType w:val="multilevel"/>
    <w:tmpl w:val="B448A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EC5811"/>
    <w:multiLevelType w:val="multilevel"/>
    <w:tmpl w:val="DD606544"/>
    <w:lvl w:ilvl="0">
      <w:start w:val="2"/>
      <w:numFmt w:val="decimal"/>
      <w:lvlText w:val="%1."/>
      <w:lvlJc w:val="left"/>
      <w:pPr>
        <w:ind w:left="390" w:hanging="390"/>
      </w:pPr>
      <w:rPr>
        <w:rFonts w:hint="default"/>
        <w:b/>
        <w:i/>
      </w:rPr>
    </w:lvl>
    <w:lvl w:ilvl="1">
      <w:start w:val="1"/>
      <w:numFmt w:val="decimal"/>
      <w:lvlText w:val="%1.%2."/>
      <w:lvlJc w:val="left"/>
      <w:pPr>
        <w:ind w:left="862"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 w15:restartNumberingAfterBreak="0">
    <w:nsid w:val="5B691112"/>
    <w:multiLevelType w:val="multilevel"/>
    <w:tmpl w:val="E2E2A1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69C46516"/>
    <w:multiLevelType w:val="hybridMultilevel"/>
    <w:tmpl w:val="7518A1B0"/>
    <w:lvl w:ilvl="0" w:tplc="E6CE15B8">
      <w:start w:val="1"/>
      <w:numFmt w:val="bullet"/>
      <w:lvlText w:val="-"/>
      <w:lvlJc w:val="left"/>
      <w:pPr>
        <w:ind w:left="1380" w:hanging="360"/>
      </w:pPr>
      <w:rPr>
        <w:rFonts w:ascii="Arial" w:hAnsi="Aria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1" w15:restartNumberingAfterBreak="0">
    <w:nsid w:val="743B4314"/>
    <w:multiLevelType w:val="multilevel"/>
    <w:tmpl w:val="3A703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0"/>
  </w:num>
  <w:num w:numId="4">
    <w:abstractNumId w:val="1"/>
  </w:num>
  <w:num w:numId="5">
    <w:abstractNumId w:val="7"/>
  </w:num>
  <w:num w:numId="6">
    <w:abstractNumId w:val="9"/>
  </w:num>
  <w:num w:numId="7">
    <w:abstractNumId w:val="4"/>
  </w:num>
  <w:num w:numId="8">
    <w:abstractNumId w:val="2"/>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563A"/>
    <w:rsid w:val="001771F9"/>
    <w:rsid w:val="001A1160"/>
    <w:rsid w:val="0021120B"/>
    <w:rsid w:val="002426BD"/>
    <w:rsid w:val="002A68A6"/>
    <w:rsid w:val="002B20A9"/>
    <w:rsid w:val="002E4943"/>
    <w:rsid w:val="00313926"/>
    <w:rsid w:val="003256B9"/>
    <w:rsid w:val="00326200"/>
    <w:rsid w:val="0033103C"/>
    <w:rsid w:val="0033762F"/>
    <w:rsid w:val="003408B3"/>
    <w:rsid w:val="003D1776"/>
    <w:rsid w:val="003E18AE"/>
    <w:rsid w:val="004B41C6"/>
    <w:rsid w:val="004F13CF"/>
    <w:rsid w:val="005122FA"/>
    <w:rsid w:val="00515A73"/>
    <w:rsid w:val="0053612B"/>
    <w:rsid w:val="00571B73"/>
    <w:rsid w:val="005822C2"/>
    <w:rsid w:val="005F583D"/>
    <w:rsid w:val="005F5CD1"/>
    <w:rsid w:val="00626E0F"/>
    <w:rsid w:val="00634187"/>
    <w:rsid w:val="00643D11"/>
    <w:rsid w:val="0067731A"/>
    <w:rsid w:val="00680041"/>
    <w:rsid w:val="00684332"/>
    <w:rsid w:val="006973D4"/>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3F38"/>
    <w:rsid w:val="008E2217"/>
    <w:rsid w:val="008E5053"/>
    <w:rsid w:val="008F477F"/>
    <w:rsid w:val="008F72C8"/>
    <w:rsid w:val="00903796"/>
    <w:rsid w:val="00977ADB"/>
    <w:rsid w:val="009D1A0F"/>
    <w:rsid w:val="009D7A17"/>
    <w:rsid w:val="009E0FEA"/>
    <w:rsid w:val="00A30FA0"/>
    <w:rsid w:val="00A61AC9"/>
    <w:rsid w:val="00A76AD3"/>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DE299A"/>
    <w:rsid w:val="00E32F53"/>
    <w:rsid w:val="00E51C64"/>
    <w:rsid w:val="00E5600F"/>
    <w:rsid w:val="00E63874"/>
    <w:rsid w:val="00EA0C7A"/>
    <w:rsid w:val="00EB5DE9"/>
    <w:rsid w:val="00EE1F69"/>
    <w:rsid w:val="00EF2338"/>
    <w:rsid w:val="00F03BC8"/>
    <w:rsid w:val="00F06AF1"/>
    <w:rsid w:val="00F074C8"/>
    <w:rsid w:val="00F13990"/>
    <w:rsid w:val="00F874D4"/>
    <w:rsid w:val="00F979EE"/>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DE299A"/>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EB5DE9"/>
    <w:rPr>
      <w:color w:val="0000FF" w:themeColor="hyperlink"/>
      <w:u w:val="single"/>
    </w:rPr>
  </w:style>
  <w:style w:type="character" w:styleId="Mentionnonrsolue">
    <w:name w:val="Unresolved Mention"/>
    <w:basedOn w:val="Policepardfaut"/>
    <w:uiPriority w:val="99"/>
    <w:semiHidden/>
    <w:unhideWhenUsed/>
    <w:rsid w:val="00EB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microsoft.com/office/2007/relationships/hdphoto" Target="media/hdphoto2.wdp"/><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2020-03-15T09:25:00Z</dcterms:created>
  <dcterms:modified xsi:type="dcterms:W3CDTF">2020-03-15T09:27:00Z</dcterms:modified>
</cp:coreProperties>
</file>