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181" w:tblpY="12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178E" w14:paraId="4713D40A" w14:textId="77777777" w:rsidTr="002356EA">
        <w:tc>
          <w:tcPr>
            <w:tcW w:w="9889" w:type="dxa"/>
          </w:tcPr>
          <w:p w14:paraId="69F069B2" w14:textId="121EBB7A" w:rsidR="0089178E" w:rsidRDefault="0089178E" w:rsidP="002356EA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1E5D86">
              <w:rPr>
                <w:rFonts w:eastAsia="Times New Roman"/>
                <w:b/>
                <w:szCs w:val="22"/>
              </w:rPr>
              <w:tab/>
              <w:t xml:space="preserve">2020 </w:t>
            </w:r>
            <w:hyperlink r:id="rId7" w:history="1">
              <w:r w:rsidR="001E5D86" w:rsidRPr="00CB0A08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1E5D86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89178E" w14:paraId="129B2E26" w14:textId="77777777" w:rsidTr="002356EA">
        <w:tc>
          <w:tcPr>
            <w:tcW w:w="9889" w:type="dxa"/>
          </w:tcPr>
          <w:p w14:paraId="2EF13902" w14:textId="2BF0D8F9" w:rsidR="0089178E" w:rsidRPr="00893F38" w:rsidRDefault="0089178E" w:rsidP="002356EA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54C3BCC3" w:rsidR="0089178E" w:rsidRPr="00626E0F" w:rsidRDefault="0089178E" w:rsidP="001E5D86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1E5D86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6E1A33B5" w:rsidR="0089178E" w:rsidRPr="001E5D86" w:rsidRDefault="0089178E" w:rsidP="001E5D86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25832C1A" w14:textId="77777777" w:rsidR="009D1C09" w:rsidRPr="009D1C09" w:rsidRDefault="009D1C09" w:rsidP="009D1C09">
      <w:pPr>
        <w:spacing w:after="200" w:line="240" w:lineRule="auto"/>
        <w:ind w:left="0"/>
        <w:jc w:val="center"/>
        <w:rPr>
          <w:rFonts w:cs="Arial"/>
          <w:b/>
        </w:rPr>
      </w:pPr>
      <w:r w:rsidRPr="009D1C09">
        <w:rPr>
          <w:rFonts w:cs="Arial"/>
          <w:b/>
        </w:rPr>
        <w:t>La détection du tabagisme passif (10 points)</w:t>
      </w:r>
    </w:p>
    <w:p w14:paraId="343FA601" w14:textId="77777777" w:rsidR="009D1C09" w:rsidRPr="009D1C09" w:rsidRDefault="009D1C09" w:rsidP="00AB64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eastAsia="Times New Roman" w:cs="Arial"/>
        </w:rPr>
      </w:pPr>
      <w:r w:rsidRPr="009D1C09">
        <w:rPr>
          <w:rFonts w:eastAsia="Times New Roman" w:cs="Arial"/>
        </w:rPr>
        <w:t xml:space="preserve">La fumée de cigarette est l'un des polluants atmosphériques les plus répandus dans l'environnement intérieur. </w:t>
      </w:r>
      <w:r w:rsidRPr="009D1C09">
        <w:rPr>
          <w:rFonts w:cs="Arial"/>
        </w:rPr>
        <w:t xml:space="preserve">Allumer une cigarette initie une série de processus chimiques impliquant la transformation ou la formation de plus de 4 000 espèces chimiques : </w:t>
      </w:r>
      <w:r w:rsidRPr="009D1C09">
        <w:rPr>
          <w:rFonts w:cs="Arial"/>
          <w:lang w:eastAsia="en-US"/>
        </w:rPr>
        <w:t>des goudrons, des gaz toxiques, des composés irritants, etc.</w:t>
      </w:r>
      <w:r w:rsidRPr="009D1C09">
        <w:rPr>
          <w:rFonts w:cs="Arial"/>
        </w:rPr>
        <w:t xml:space="preserve"> Les formules de quelques espèces chimiques  présentes dans la fumée de cigarette sont représentées ou citées ci-dessous.</w:t>
      </w:r>
    </w:p>
    <w:p w14:paraId="08D055EC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center"/>
        <w:rPr>
          <w:rFonts w:cs="Arial"/>
        </w:rPr>
      </w:pPr>
      <w:r w:rsidRPr="009D1C09">
        <w:rPr>
          <w:rFonts w:cs="Arial"/>
          <w:noProof/>
        </w:rPr>
        <w:drawing>
          <wp:inline distT="0" distB="0" distL="0" distR="0" wp14:anchorId="112A4E0A" wp14:editId="1F0085E4">
            <wp:extent cx="3984382" cy="2521950"/>
            <wp:effectExtent l="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993821" cy="252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D053E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center"/>
        <w:rPr>
          <w:rFonts w:eastAsia="Times New Roman" w:cs="Arial"/>
        </w:rPr>
      </w:pPr>
      <w:r w:rsidRPr="009D1C09">
        <w:rPr>
          <w:rFonts w:cs="Arial"/>
          <w:i/>
        </w:rPr>
        <w:t xml:space="preserve">D’après </w:t>
      </w:r>
      <w:hyperlink r:id="rId9" w:history="1">
        <w:r w:rsidRPr="009D1C09">
          <w:rPr>
            <w:rFonts w:cs="Arial"/>
            <w:i/>
            <w:color w:val="0000FF"/>
            <w:u w:val="single"/>
          </w:rPr>
          <w:t>http://www.ipubli.inserm.fr/bitstream/handle/10608/149/?sequence=7</w:t>
        </w:r>
      </w:hyperlink>
    </w:p>
    <w:p w14:paraId="463EF271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eastAsia="Times New Roman" w:cs="Arial"/>
        </w:rPr>
      </w:pPr>
    </w:p>
    <w:p w14:paraId="77E7A77F" w14:textId="77777777" w:rsidR="009D1C09" w:rsidRPr="009D1C09" w:rsidRDefault="009D1C09" w:rsidP="00AB64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eastAsia="Times New Roman" w:cs="Arial"/>
        </w:rPr>
      </w:pPr>
      <w:r w:rsidRPr="009D1C09">
        <w:rPr>
          <w:rFonts w:eastAsia="Times New Roman" w:cs="Arial"/>
        </w:rPr>
        <w:t>Le tabagisme passif est défini comme l'inhalation involontaire de la fumée de tabac présente dans l'air. Dans cette partie on cherche à déterminer si une femme enceinte est victime d’un tabagisme passif.</w:t>
      </w:r>
    </w:p>
    <w:p w14:paraId="0D11BA29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right"/>
        <w:rPr>
          <w:rFonts w:cs="Arial"/>
          <w:i/>
        </w:rPr>
      </w:pPr>
    </w:p>
    <w:p w14:paraId="7C1F7681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b/>
        </w:rPr>
      </w:pPr>
      <w:r w:rsidRPr="009D1C09">
        <w:rPr>
          <w:rFonts w:cs="Arial"/>
          <w:b/>
        </w:rPr>
        <w:t xml:space="preserve">Données : </w:t>
      </w:r>
    </w:p>
    <w:p w14:paraId="5E123B3B" w14:textId="77777777" w:rsidR="009D1C09" w:rsidRPr="009D1C09" w:rsidRDefault="009D1C09" w:rsidP="009D1C0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142"/>
        <w:contextualSpacing/>
        <w:jc w:val="both"/>
        <w:rPr>
          <w:rFonts w:cs="Arial"/>
        </w:rPr>
      </w:pPr>
      <w:r w:rsidRPr="009D1C09">
        <w:rPr>
          <w:rFonts w:cs="Arial"/>
        </w:rPr>
        <w:t>Numéros atomiques : H (Z = 1) ; C (Z = 6) ; N (Z = 7)</w:t>
      </w:r>
    </w:p>
    <w:p w14:paraId="7C7736BF" w14:textId="77777777" w:rsidR="009D1C09" w:rsidRPr="009D1C09" w:rsidRDefault="009D1C09" w:rsidP="009D1C0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142"/>
        <w:contextualSpacing/>
        <w:jc w:val="both"/>
        <w:rPr>
          <w:rFonts w:cs="Arial"/>
          <w:i/>
          <w:iCs/>
        </w:rPr>
      </w:pPr>
      <w:r w:rsidRPr="009D1C09">
        <w:rPr>
          <w:rFonts w:cs="Arial"/>
          <w:iCs/>
        </w:rPr>
        <w:t>Masse molaire de l’ion thiocyanate SCN</w:t>
      </w:r>
      <w:r w:rsidRPr="009D1C09">
        <w:rPr>
          <w:rFonts w:cs="Arial"/>
          <w:iCs/>
          <w:vertAlign w:val="superscript"/>
        </w:rPr>
        <w:t>−</w:t>
      </w:r>
      <w:r w:rsidRPr="009D1C09">
        <w:rPr>
          <w:rFonts w:cs="Arial"/>
          <w:iCs/>
        </w:rPr>
        <w:t> : 58 g·mol</w:t>
      </w:r>
      <w:r w:rsidRPr="009D1C09">
        <w:rPr>
          <w:rFonts w:cs="Arial"/>
          <w:iCs/>
          <w:vertAlign w:val="superscript"/>
        </w:rPr>
        <w:t>-1</w:t>
      </w:r>
      <w:r w:rsidRPr="009D1C09">
        <w:rPr>
          <w:rFonts w:cs="Arial"/>
          <w:iCs/>
        </w:rPr>
        <w:t xml:space="preserve"> </w:t>
      </w:r>
    </w:p>
    <w:p w14:paraId="047C484F" w14:textId="77777777" w:rsidR="009D1C09" w:rsidRPr="009D1C09" w:rsidRDefault="009D1C09" w:rsidP="009D1C0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142"/>
        <w:contextualSpacing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>Cercle chromatique :</w:t>
      </w:r>
    </w:p>
    <w:p w14:paraId="2EEEA909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426"/>
        <w:jc w:val="center"/>
        <w:rPr>
          <w:rFonts w:cs="Arial"/>
        </w:rPr>
      </w:pPr>
      <w:r w:rsidRPr="009D1C09">
        <w:rPr>
          <w:rFonts w:cs="Arial"/>
          <w:noProof/>
        </w:rPr>
        <w:drawing>
          <wp:inline distT="0" distB="0" distL="0" distR="0" wp14:anchorId="721D2E67" wp14:editId="648A168F">
            <wp:extent cx="1847967" cy="1801240"/>
            <wp:effectExtent l="0" t="0" r="0" b="8890"/>
            <wp:docPr id="4" name="Image 1" descr="Résultat de recherche d'images pour &quot;image cercle chromatique longueur d'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Résultat de recherche d'images pour &quot;image cercle chromatique longueur d'onde&quot;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50419" cy="18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89CD" w14:textId="77777777" w:rsidR="009D1C09" w:rsidRPr="009D1C09" w:rsidRDefault="009D1C09" w:rsidP="00AB649A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5" w:hanging="425"/>
        <w:jc w:val="both"/>
        <w:rPr>
          <w:rFonts w:cs="Arial"/>
        </w:rPr>
      </w:pPr>
      <w:r w:rsidRPr="009D1C09">
        <w:rPr>
          <w:rFonts w:cs="Arial"/>
        </w:rPr>
        <w:t>Après avoir recopié la formule semi-développée de chacune des quatre molécules représentées ci-dessus, identifier le groupe caractéristique présent et l’associer à une famille de composés.</w:t>
      </w:r>
    </w:p>
    <w:p w14:paraId="2BCE348C" w14:textId="77777777" w:rsidR="009D1C09" w:rsidRPr="009D1C09" w:rsidRDefault="009D1C09" w:rsidP="00AB649A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5" w:hanging="425"/>
        <w:jc w:val="both"/>
        <w:rPr>
          <w:rFonts w:cs="Arial"/>
        </w:rPr>
      </w:pPr>
      <w:r w:rsidRPr="009D1C09">
        <w:rPr>
          <w:rFonts w:cs="Arial"/>
        </w:rPr>
        <w:t>Justifier le nom donné à la propanone.</w:t>
      </w:r>
    </w:p>
    <w:p w14:paraId="172E8DB4" w14:textId="4B32DE7D" w:rsidR="009D1C09" w:rsidRPr="00AB649A" w:rsidRDefault="009D1C09" w:rsidP="00AB649A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5"/>
        <w:rPr>
          <w:rFonts w:cs="Arial"/>
        </w:rPr>
      </w:pPr>
      <w:r w:rsidRPr="00AB649A">
        <w:rPr>
          <w:rFonts w:cs="Arial"/>
        </w:rPr>
        <w:t>Établir le schéma de Lewis de la molécule de cyanure d’hydrogène de formule HCN et proposer une géométrie pour cette molécule.</w:t>
      </w:r>
      <w:r w:rsidR="00AB649A" w:rsidRPr="00AB649A">
        <w:rPr>
          <w:rFonts w:cs="Arial"/>
        </w:rPr>
        <w:br w:type="page"/>
      </w:r>
    </w:p>
    <w:p w14:paraId="220A1215" w14:textId="77777777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lastRenderedPageBreak/>
        <w:t>Le cyanure d’hydrogène est absorbé par le corps, puis en partie dégradé en ions thiocyanate SCN</w:t>
      </w:r>
      <w:r w:rsidRPr="009D1C09">
        <w:rPr>
          <w:rFonts w:cs="Arial"/>
          <w:vertAlign w:val="superscript"/>
          <w:lang w:eastAsia="en-US"/>
        </w:rPr>
        <w:t>−</w:t>
      </w:r>
      <w:r w:rsidRPr="009D1C09">
        <w:rPr>
          <w:rFonts w:cs="Arial"/>
          <w:lang w:eastAsia="en-US"/>
        </w:rPr>
        <w:t xml:space="preserve"> que l’on retrouve ensuite dans la salive ou dans l’urine. Dans la salive, par exemple, les concentrations en masse en ions thiocyanate sont en moyenne de </w:t>
      </w:r>
      <w:r w:rsidRPr="009D1C09">
        <w:rPr>
          <w:rFonts w:eastAsia="Times New Roman" w:cs="Arial"/>
        </w:rPr>
        <w:t>112 mg·L</w:t>
      </w:r>
      <w:r w:rsidRPr="009D1C09">
        <w:rPr>
          <w:rFonts w:eastAsia="Times New Roman" w:cs="Arial"/>
          <w:vertAlign w:val="superscript"/>
        </w:rPr>
        <w:t>-1</w:t>
      </w:r>
      <w:r w:rsidRPr="009D1C09">
        <w:rPr>
          <w:rFonts w:eastAsia="Times New Roman" w:cs="Arial"/>
        </w:rPr>
        <w:t xml:space="preserve"> chez les non-fumeurs et de 349 mg·L</w:t>
      </w:r>
      <w:r w:rsidRPr="009D1C09">
        <w:rPr>
          <w:rFonts w:eastAsia="Times New Roman" w:cs="Arial"/>
          <w:vertAlign w:val="superscript"/>
        </w:rPr>
        <w:t>-1</w:t>
      </w:r>
      <w:r w:rsidRPr="009D1C09">
        <w:rPr>
          <w:rFonts w:eastAsia="Times New Roman" w:cs="Arial"/>
        </w:rPr>
        <w:t xml:space="preserve"> chez les fumeurs. L</w:t>
      </w:r>
      <w:r w:rsidRPr="009D1C09">
        <w:rPr>
          <w:rFonts w:cs="Arial"/>
          <w:lang w:eastAsia="en-US"/>
        </w:rPr>
        <w:t xml:space="preserve">es ions thiocyanate peuvent donc être considérés comme des marqueurs biologiques du tabagisme car leur concentration renseigne sur l’exposition d’une personne à la fumée du tabac. </w:t>
      </w:r>
    </w:p>
    <w:p w14:paraId="6288457A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b/>
          <w:lang w:eastAsia="en-US"/>
        </w:rPr>
      </w:pPr>
      <w:r w:rsidRPr="009D1C09">
        <w:rPr>
          <w:rFonts w:cs="Arial"/>
          <w:b/>
          <w:lang w:eastAsia="en-US"/>
        </w:rPr>
        <w:t>Principe du dosage</w:t>
      </w:r>
    </w:p>
    <w:p w14:paraId="20DE4764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b/>
          <w:lang w:eastAsia="en-US"/>
        </w:rPr>
      </w:pPr>
    </w:p>
    <w:p w14:paraId="0A659AA7" w14:textId="77777777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lang w:eastAsia="en-US"/>
        </w:rPr>
      </w:pPr>
      <w:r w:rsidRPr="009D1C09">
        <w:rPr>
          <w:rFonts w:cs="Arial"/>
        </w:rPr>
        <w:t xml:space="preserve">Un échantillon noté </w:t>
      </w:r>
      <w:r w:rsidRPr="009D1C09">
        <w:rPr>
          <w:rFonts w:cs="Arial"/>
          <w:b/>
        </w:rPr>
        <w:t>S</w:t>
      </w:r>
      <w:r w:rsidRPr="009D1C09">
        <w:rPr>
          <w:rFonts w:cs="Arial"/>
        </w:rPr>
        <w:t xml:space="preserve"> de 250 µL de salive d’une femme enceinte est prélevé. </w:t>
      </w:r>
      <w:r w:rsidRPr="009D1C09">
        <w:rPr>
          <w:rFonts w:cs="Arial"/>
          <w:lang w:eastAsia="en-US"/>
        </w:rPr>
        <w:t xml:space="preserve">Les ions thiocyanate présents dans l’échantillon étant incolores et n’absorbant pas dans le proche ultraviolet, on les fait réagir avec une solution d’ions fer III,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</m:t>
            </m:r>
          </m:e>
          <m:sup>
            <m:r>
              <w:rPr>
                <w:rFonts w:ascii="Cambria Math" w:hAnsi="Cambria Math" w:cs="Arial"/>
                <w:lang w:eastAsia="en-US"/>
              </w:rPr>
              <m:t>3+</m:t>
            </m:r>
          </m:sup>
        </m:sSup>
      </m:oMath>
      <w:r w:rsidRPr="009D1C09">
        <w:rPr>
          <w:rFonts w:cs="Arial"/>
          <w:lang w:eastAsia="en-US"/>
        </w:rPr>
        <w:t xml:space="preserve">(aq). </w:t>
      </w:r>
      <w:r w:rsidRPr="009D1C09">
        <w:rPr>
          <w:rFonts w:cs="Arial"/>
        </w:rPr>
        <w:t xml:space="preserve">On obtient 10,0 mL d’une solution </w:t>
      </w:r>
      <w:proofErr w:type="gramStart"/>
      <w:r w:rsidRPr="009D1C09">
        <w:rPr>
          <w:rFonts w:cs="Arial"/>
          <w:b/>
        </w:rPr>
        <w:t>S</w:t>
      </w:r>
      <w:r w:rsidRPr="009D1C09">
        <w:rPr>
          <w:rFonts w:cs="Arial"/>
          <w:b/>
          <w:vertAlign w:val="superscript"/>
        </w:rPr>
        <w:t>’</w:t>
      </w:r>
      <w:r w:rsidRPr="009D1C09">
        <w:rPr>
          <w:rFonts w:cs="Arial"/>
          <w:vertAlign w:val="superscript"/>
        </w:rPr>
        <w:t xml:space="preserve"> </w:t>
      </w:r>
      <w:r w:rsidRPr="009D1C09">
        <w:rPr>
          <w:rFonts w:cs="Arial"/>
        </w:rPr>
        <w:t>dans</w:t>
      </w:r>
      <w:proofErr w:type="gramEnd"/>
      <w:r w:rsidRPr="009D1C09">
        <w:rPr>
          <w:rFonts w:cs="Arial"/>
        </w:rPr>
        <w:t xml:space="preserve"> laquelle s’est formée l’espèce ionique</w:t>
      </w:r>
      <w:r w:rsidRPr="009D1C09">
        <w:rPr>
          <w:rFonts w:cs="Arial"/>
          <w:lang w:eastAsia="en-US"/>
        </w:rPr>
        <w:t xml:space="preserve"> de formule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</m:oMath>
      <w:r w:rsidRPr="009D1C09">
        <w:rPr>
          <w:rFonts w:cs="Arial"/>
          <w:lang w:eastAsia="en-US"/>
        </w:rPr>
        <w:t xml:space="preserve">, soluble dans l’eau. La transformation chimique est modélisée par la réaction d’équation suivante : </w:t>
      </w:r>
    </w:p>
    <w:p w14:paraId="76EAAB8B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207"/>
        <w:rPr>
          <w:rFonts w:cs="Arial"/>
          <w:lang w:eastAsia="en-US"/>
        </w:rPr>
      </w:pPr>
      <m:oMathPara>
        <m:oMath>
          <m:r>
            <w:rPr>
              <w:rFonts w:ascii="Cambria Math" w:hAnsi="Cambria Math" w:cs="Arial"/>
              <w:lang w:eastAsia="en-US"/>
            </w:rPr>
            <m:t>SC</m:t>
          </m:r>
          <m:sSubSup>
            <m:sSubSup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SupPr>
            <m:e>
              <m:r>
                <w:rPr>
                  <w:rFonts w:ascii="Cambria Math" w:hAnsi="Cambria Math" w:cs="Arial"/>
                  <w:lang w:eastAsia="en-US"/>
                </w:rPr>
                <m:t>N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(aq)</m:t>
              </m:r>
            </m:sub>
            <m:sup>
              <m:r>
                <w:rPr>
                  <w:rFonts w:ascii="Cambria Math" w:hAnsi="Cambria Math" w:cs="Arial"/>
                  <w:lang w:eastAsia="en-US"/>
                </w:rPr>
                <m:t>-</m:t>
              </m:r>
            </m:sup>
          </m:sSubSup>
          <m:r>
            <w:rPr>
              <w:rFonts w:ascii="Cambria Math" w:hAnsi="Cambria Math" w:cs="Arial"/>
              <w:lang w:eastAsia="en-US"/>
            </w:rPr>
            <m:t xml:space="preserve">+  </m:t>
          </m:r>
          <m:sSubSup>
            <m:sSubSup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SupPr>
            <m:e>
              <m:r>
                <w:rPr>
                  <w:rFonts w:ascii="Cambria Math" w:hAnsi="Cambria Math" w:cs="Arial"/>
                  <w:lang w:eastAsia="en-US"/>
                </w:rPr>
                <m:t>Fe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(aq)</m:t>
              </m:r>
            </m:sub>
            <m:sup>
              <m:r>
                <w:rPr>
                  <w:rFonts w:ascii="Cambria Math" w:hAnsi="Cambria Math" w:cs="Arial"/>
                  <w:lang w:eastAsia="en-US"/>
                </w:rPr>
                <m:t>3+</m:t>
              </m:r>
            </m:sup>
          </m:sSubSup>
          <m:r>
            <w:rPr>
              <w:rFonts w:ascii="Cambria Math" w:hAnsi="Cambria Math" w:cs="Arial"/>
              <w:lang w:eastAsia="en-US"/>
            </w:rPr>
            <m:t xml:space="preserve">  →  </m:t>
          </m:r>
          <m:sSubSup>
            <m:sSubSup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SupPr>
            <m:e>
              <m:r>
                <w:rPr>
                  <w:rFonts w:ascii="Cambria Math" w:hAnsi="Cambria Math" w:cs="Arial"/>
                  <w:lang w:eastAsia="en-US"/>
                </w:rPr>
                <m:t>Fe(SCN)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(aq)</m:t>
              </m:r>
            </m:sub>
            <m:sup>
              <m:r>
                <w:rPr>
                  <w:rFonts w:ascii="Cambria Math" w:hAnsi="Cambria Math" w:cs="Arial"/>
                  <w:lang w:eastAsia="en-US"/>
                </w:rPr>
                <m:t>2+</m:t>
              </m:r>
            </m:sup>
          </m:sSubSup>
        </m:oMath>
      </m:oMathPara>
    </w:p>
    <w:p w14:paraId="2B94B7CD" w14:textId="77777777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eastAsia="Times New Roman" w:cs="Arial"/>
        </w:rPr>
      </w:pPr>
      <w:r w:rsidRPr="009D1C09">
        <w:rPr>
          <w:rFonts w:eastAsia="Times New Roman" w:cs="Arial"/>
        </w:rPr>
        <w:t xml:space="preserve">La courbe ci-dessous représente l'absorbance d'une solution aqueuse contenant l’espèce ionique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</m:oMath>
      <w:r w:rsidRPr="009D1C09">
        <w:rPr>
          <w:rFonts w:eastAsia="Times New Roman" w:cs="Arial"/>
        </w:rPr>
        <w:t xml:space="preserve"> en fonction de la longueur d'onde. </w:t>
      </w:r>
    </w:p>
    <w:p w14:paraId="035BFEB4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207"/>
        <w:rPr>
          <w:rFonts w:cs="Arial"/>
          <w:lang w:eastAsia="en-US"/>
        </w:rPr>
      </w:pPr>
    </w:p>
    <w:p w14:paraId="7B4700F3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center"/>
        <w:rPr>
          <w:rFonts w:cs="Arial"/>
          <w:lang w:eastAsia="en-US"/>
        </w:rPr>
      </w:pPr>
      <w:r w:rsidRPr="009D1C09">
        <w:rPr>
          <w:rFonts w:cs="Calibri"/>
          <w:noProof/>
          <w:szCs w:val="22"/>
        </w:rPr>
        <w:drawing>
          <wp:inline distT="0" distB="0" distL="0" distR="0" wp14:anchorId="2090506E" wp14:editId="0CE463D5">
            <wp:extent cx="4369404" cy="2687541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4386155" cy="26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C6801" w14:textId="77777777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283"/>
        <w:contextualSpacing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 xml:space="preserve">Expliquer pourquoi les ions thiocyanate ne peuvent pas être dosés directement par spectrophotométrie UV-visible. Indiquer l’intérêt de les faire réagir avec les ions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</m:t>
            </m:r>
          </m:e>
          <m:sup>
            <m:r>
              <w:rPr>
                <w:rFonts w:ascii="Cambria Math" w:hAnsi="Cambria Math" w:cs="Arial"/>
                <w:lang w:eastAsia="en-US"/>
              </w:rPr>
              <m:t>3+</m:t>
            </m:r>
          </m:sup>
        </m:sSup>
      </m:oMath>
      <w:r w:rsidRPr="009D1C09">
        <w:rPr>
          <w:rFonts w:cs="Arial"/>
          <w:lang w:eastAsia="en-US"/>
        </w:rPr>
        <w:t xml:space="preserve">  </w:t>
      </w:r>
    </w:p>
    <w:p w14:paraId="072EE6A1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lang w:eastAsia="en-US"/>
        </w:rPr>
      </w:pPr>
    </w:p>
    <w:p w14:paraId="2D525022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b/>
          <w:lang w:eastAsia="en-US"/>
        </w:rPr>
      </w:pPr>
      <w:r w:rsidRPr="009D1C09">
        <w:rPr>
          <w:rFonts w:cs="Arial"/>
          <w:b/>
          <w:lang w:eastAsia="en-US"/>
        </w:rPr>
        <w:t>Préparation de la gamme de solution étalon et tracé de la droite d’étalonnage</w:t>
      </w:r>
    </w:p>
    <w:p w14:paraId="22A960D5" w14:textId="77777777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 xml:space="preserve">On cherche à doser l’espèce chimique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  <m:r>
          <w:rPr>
            <w:rFonts w:ascii="Cambria Math" w:hAnsi="Cambria Math" w:cs="Arial"/>
            <w:lang w:eastAsia="en-US"/>
          </w:rPr>
          <m:t xml:space="preserve"> </m:t>
        </m:r>
      </m:oMath>
      <w:r w:rsidRPr="009D1C09">
        <w:rPr>
          <w:rFonts w:cs="Arial"/>
          <w:lang w:eastAsia="en-US"/>
        </w:rPr>
        <w:t xml:space="preserve">présente dans la solution </w:t>
      </w:r>
      <w:r w:rsidRPr="009D1C09">
        <w:rPr>
          <w:rFonts w:cs="Arial"/>
          <w:b/>
          <w:lang w:eastAsia="en-US"/>
        </w:rPr>
        <w:t>S’</w:t>
      </w:r>
      <w:r w:rsidRPr="009D1C09">
        <w:rPr>
          <w:rFonts w:cs="Arial"/>
          <w:lang w:eastAsia="en-US"/>
        </w:rPr>
        <w:t xml:space="preserve">. </w:t>
      </w:r>
    </w:p>
    <w:p w14:paraId="7ED87087" w14:textId="6E97F2CE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 xml:space="preserve">À partir d’une solution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0</w:t>
      </w:r>
      <w:r w:rsidRPr="009D1C09">
        <w:rPr>
          <w:rFonts w:cs="Arial"/>
          <w:vertAlign w:val="subscript"/>
          <w:lang w:eastAsia="en-US"/>
        </w:rPr>
        <w:t xml:space="preserve"> </w:t>
      </w:r>
      <w:r w:rsidRPr="009D1C09">
        <w:rPr>
          <w:rFonts w:cs="Arial"/>
          <w:lang w:eastAsia="en-US"/>
        </w:rPr>
        <w:t xml:space="preserve">de concentration </w:t>
      </w:r>
      <w:r w:rsidRPr="009D1C09">
        <w:rPr>
          <w:rFonts w:cs="Arial"/>
          <w:i/>
          <w:lang w:eastAsia="en-US"/>
        </w:rPr>
        <w:t>C</w:t>
      </w:r>
      <w:r w:rsidRPr="009D1C09">
        <w:rPr>
          <w:rFonts w:cs="Arial"/>
          <w:i/>
          <w:vertAlign w:val="subscript"/>
          <w:lang w:eastAsia="en-US"/>
        </w:rPr>
        <w:t>0</w:t>
      </w:r>
      <w:r w:rsidRPr="009D1C09">
        <w:rPr>
          <w:rFonts w:cs="Arial"/>
          <w:vertAlign w:val="subscript"/>
          <w:lang w:eastAsia="en-US"/>
        </w:rPr>
        <w:t xml:space="preserve"> </w:t>
      </w:r>
      <w:r w:rsidRPr="009D1C09">
        <w:rPr>
          <w:rFonts w:cs="Arial"/>
          <w:lang w:eastAsia="en-US"/>
        </w:rPr>
        <w:t>= 2,0×10</w:t>
      </w:r>
      <w:r w:rsidRPr="009D1C09">
        <w:rPr>
          <w:rFonts w:ascii="Calibri" w:hAnsi="Calibri" w:cs="Calibri"/>
          <w:vertAlign w:val="superscript"/>
          <w:lang w:eastAsia="en-US"/>
        </w:rPr>
        <w:t>−</w:t>
      </w:r>
      <w:r w:rsidRPr="009D1C09">
        <w:rPr>
          <w:rFonts w:cs="Arial"/>
          <w:vertAlign w:val="superscript"/>
          <w:lang w:eastAsia="en-US"/>
        </w:rPr>
        <w:t>4</w:t>
      </w:r>
      <w:r w:rsidRPr="009D1C09">
        <w:rPr>
          <w:rFonts w:cs="Arial"/>
          <w:lang w:eastAsia="en-US"/>
        </w:rPr>
        <w:t xml:space="preserve"> mol.L</w:t>
      </w:r>
      <w:r w:rsidRPr="009D1C09">
        <w:rPr>
          <w:rFonts w:cs="Arial"/>
          <w:vertAlign w:val="superscript"/>
          <w:lang w:eastAsia="en-US"/>
        </w:rPr>
        <w:t>-1</w:t>
      </w:r>
      <w:r w:rsidRPr="009D1C09">
        <w:rPr>
          <w:rFonts w:cs="Arial"/>
          <w:lang w:eastAsia="en-US"/>
        </w:rPr>
        <w:t xml:space="preserve"> en ions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</m:oMath>
      <w:r w:rsidRPr="009D1C09">
        <w:rPr>
          <w:rFonts w:cs="Arial"/>
          <w:lang w:eastAsia="en-US"/>
        </w:rPr>
        <w:t xml:space="preserve">, on prépare la gamme d’étalonnage composée des solutions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0</w:t>
      </w:r>
      <w:r w:rsidRPr="009D1C09">
        <w:rPr>
          <w:rFonts w:cs="Arial"/>
          <w:lang w:eastAsia="en-US"/>
        </w:rPr>
        <w:t xml:space="preserve">,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1</w:t>
      </w:r>
      <w:r w:rsidRPr="009D1C09">
        <w:rPr>
          <w:rFonts w:cs="Arial"/>
          <w:lang w:eastAsia="en-US"/>
        </w:rPr>
        <w:t xml:space="preserve">,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2</w:t>
      </w:r>
      <w:r w:rsidRPr="009D1C09">
        <w:rPr>
          <w:rFonts w:cs="Arial"/>
          <w:lang w:eastAsia="en-US"/>
        </w:rPr>
        <w:t xml:space="preserve">,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3</w:t>
      </w:r>
      <w:r w:rsidRPr="009D1C09">
        <w:rPr>
          <w:rFonts w:cs="Arial"/>
          <w:lang w:eastAsia="en-US"/>
        </w:rPr>
        <w:t xml:space="preserve"> et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4</w:t>
      </w:r>
      <w:r w:rsidRPr="009D1C09">
        <w:rPr>
          <w:rFonts w:cs="Arial"/>
          <w:lang w:eastAsia="en-US"/>
        </w:rPr>
        <w:t xml:space="preserve"> dont les concentrations sont données dans le tableau ci-dessous.</w:t>
      </w:r>
    </w:p>
    <w:tbl>
      <w:tblPr>
        <w:tblStyle w:val="Grilledutableau21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327"/>
        <w:gridCol w:w="1508"/>
        <w:gridCol w:w="1508"/>
        <w:gridCol w:w="1546"/>
        <w:gridCol w:w="1546"/>
      </w:tblGrid>
      <w:tr w:rsidR="009D1C09" w:rsidRPr="009D1C09" w14:paraId="3549C78A" w14:textId="77777777" w:rsidTr="002D4307">
        <w:trPr>
          <w:jc w:val="center"/>
        </w:trPr>
        <w:tc>
          <w:tcPr>
            <w:tcW w:w="1627" w:type="dxa"/>
            <w:vAlign w:val="center"/>
          </w:tcPr>
          <w:p w14:paraId="5061D6F0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Solution</w:t>
            </w:r>
          </w:p>
        </w:tc>
        <w:tc>
          <w:tcPr>
            <w:tcW w:w="1327" w:type="dxa"/>
            <w:vAlign w:val="center"/>
          </w:tcPr>
          <w:p w14:paraId="547FA49B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</w:t>
            </w:r>
            <w:r w:rsidRPr="009D1C09"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1508" w:type="dxa"/>
            <w:vAlign w:val="center"/>
          </w:tcPr>
          <w:p w14:paraId="3FDAABF8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</w:t>
            </w:r>
            <w:r w:rsidRPr="009D1C09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508" w:type="dxa"/>
            <w:vAlign w:val="center"/>
          </w:tcPr>
          <w:p w14:paraId="430424E2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</w:t>
            </w:r>
            <w:r w:rsidRPr="009D1C0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546" w:type="dxa"/>
            <w:vAlign w:val="center"/>
          </w:tcPr>
          <w:p w14:paraId="1107B923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</w:t>
            </w:r>
            <w:r w:rsidRPr="009D1C09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546" w:type="dxa"/>
            <w:vAlign w:val="center"/>
          </w:tcPr>
          <w:p w14:paraId="70562EAE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</w:t>
            </w:r>
            <w:r w:rsidRPr="009D1C09">
              <w:rPr>
                <w:rFonts w:ascii="Arial" w:hAnsi="Arial" w:cs="Arial"/>
                <w:vertAlign w:val="subscript"/>
              </w:rPr>
              <w:t>4</w:t>
            </w:r>
          </w:p>
        </w:tc>
      </w:tr>
      <w:tr w:rsidR="009D1C09" w:rsidRPr="009D1C09" w14:paraId="1C71D909" w14:textId="77777777" w:rsidTr="002D4307">
        <w:trPr>
          <w:trHeight w:val="738"/>
          <w:jc w:val="center"/>
        </w:trPr>
        <w:tc>
          <w:tcPr>
            <w:tcW w:w="1627" w:type="dxa"/>
            <w:vAlign w:val="center"/>
          </w:tcPr>
          <w:p w14:paraId="6A78DC69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[</w:t>
            </w:r>
            <w:proofErr w:type="gramStart"/>
            <w:r w:rsidRPr="009D1C09">
              <w:rPr>
                <w:rFonts w:ascii="Arial" w:hAnsi="Arial" w:cs="Arial"/>
              </w:rPr>
              <w:t>Fe(</w:t>
            </w:r>
            <w:proofErr w:type="gramEnd"/>
            <w:r w:rsidRPr="009D1C09">
              <w:rPr>
                <w:rFonts w:ascii="Arial" w:hAnsi="Arial" w:cs="Arial"/>
              </w:rPr>
              <w:t>SCN)</w:t>
            </w:r>
            <w:r w:rsidRPr="009D1C09">
              <w:rPr>
                <w:rFonts w:ascii="Arial" w:hAnsi="Arial" w:cs="Arial"/>
                <w:vertAlign w:val="superscript"/>
              </w:rPr>
              <w:t>2+</w:t>
            </w:r>
            <w:r w:rsidRPr="009D1C09">
              <w:rPr>
                <w:rFonts w:ascii="Arial" w:hAnsi="Arial" w:cs="Arial"/>
              </w:rPr>
              <w:t>]</w:t>
            </w:r>
          </w:p>
          <w:p w14:paraId="39AC9BD6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en mol·L</w:t>
            </w:r>
            <w:r w:rsidRPr="009D1C09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1327" w:type="dxa"/>
            <w:vAlign w:val="center"/>
          </w:tcPr>
          <w:p w14:paraId="2DE3259A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2,0×10</w:t>
            </w:r>
            <w:r w:rsidRPr="009D1C09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508" w:type="dxa"/>
            <w:vAlign w:val="center"/>
          </w:tcPr>
          <w:p w14:paraId="7E265C02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1,6×10</w:t>
            </w:r>
            <w:r w:rsidRPr="009D1C09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508" w:type="dxa"/>
            <w:vAlign w:val="center"/>
          </w:tcPr>
          <w:p w14:paraId="20A4BB7B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1,0×10</w:t>
            </w:r>
            <w:r w:rsidRPr="009D1C09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546" w:type="dxa"/>
            <w:vAlign w:val="center"/>
          </w:tcPr>
          <w:p w14:paraId="6AB90FCF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0,80×10</w:t>
            </w:r>
            <w:r w:rsidRPr="009D1C09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546" w:type="dxa"/>
            <w:vAlign w:val="center"/>
          </w:tcPr>
          <w:p w14:paraId="58A065E5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0,40×10</w:t>
            </w:r>
            <w:r w:rsidRPr="009D1C09">
              <w:rPr>
                <w:rFonts w:ascii="Arial" w:hAnsi="Arial" w:cs="Arial"/>
                <w:vertAlign w:val="superscript"/>
              </w:rPr>
              <w:t>-4</w:t>
            </w:r>
          </w:p>
        </w:tc>
      </w:tr>
    </w:tbl>
    <w:p w14:paraId="51A3AB87" w14:textId="77777777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 xml:space="preserve">Indiquer la verrerie nécessaire pour préparer 50,0 mL de solution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2</w:t>
      </w:r>
      <w:r w:rsidRPr="009D1C09">
        <w:rPr>
          <w:rFonts w:cs="Arial"/>
          <w:lang w:eastAsia="en-US"/>
        </w:rPr>
        <w:t xml:space="preserve"> à partir de la solution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0</w:t>
      </w:r>
      <w:r w:rsidRPr="009D1C09">
        <w:rPr>
          <w:rFonts w:cs="Arial"/>
          <w:lang w:eastAsia="en-US"/>
        </w:rPr>
        <w:t xml:space="preserve"> en justifiant votre raisonnement.</w:t>
      </w:r>
    </w:p>
    <w:p w14:paraId="09047D12" w14:textId="77777777" w:rsidR="002B52C7" w:rsidRDefault="002B52C7">
      <w:pPr>
        <w:spacing w:after="0" w:line="240" w:lineRule="auto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p w14:paraId="64AE8278" w14:textId="758BA34B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lastRenderedPageBreak/>
        <w:t xml:space="preserve">On mesure l’absorbance de chacune des solutions et on trace le graphique ci-dessous donnant l’évolution de l’absorbance en fonction de la concentration en ions </w:t>
      </w:r>
      <w:proofErr w:type="gramStart"/>
      <w:r w:rsidRPr="009D1C09">
        <w:rPr>
          <w:rFonts w:cs="Arial"/>
          <w:i/>
          <w:lang w:eastAsia="en-US"/>
        </w:rPr>
        <w:t>Fe(</w:t>
      </w:r>
      <w:proofErr w:type="gramEnd"/>
      <w:r w:rsidRPr="009D1C09">
        <w:rPr>
          <w:rFonts w:cs="Arial"/>
          <w:i/>
          <w:lang w:eastAsia="en-US"/>
        </w:rPr>
        <w:t>SCN)</w:t>
      </w:r>
      <w:r w:rsidRPr="009D1C09">
        <w:rPr>
          <w:rFonts w:cs="Arial"/>
          <w:i/>
          <w:vertAlign w:val="superscript"/>
          <w:lang w:eastAsia="en-US"/>
        </w:rPr>
        <w:t>2+</w:t>
      </w:r>
      <w:r w:rsidRPr="009D1C09">
        <w:rPr>
          <w:rFonts w:cs="Arial"/>
          <w:lang w:eastAsia="en-US"/>
        </w:rPr>
        <w:t>.</w:t>
      </w:r>
    </w:p>
    <w:p w14:paraId="15D01428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center"/>
        <w:rPr>
          <w:rFonts w:cs="Arial"/>
          <w:lang w:eastAsia="en-US"/>
        </w:rPr>
      </w:pPr>
      <w:r w:rsidRPr="009D1C09">
        <w:rPr>
          <w:rFonts w:cs="Arial"/>
          <w:noProof/>
        </w:rPr>
        <w:drawing>
          <wp:inline distT="0" distB="0" distL="0" distR="0" wp14:anchorId="196636F4" wp14:editId="38C95E9F">
            <wp:extent cx="4305873" cy="2282024"/>
            <wp:effectExtent l="0" t="0" r="0" b="4445"/>
            <wp:docPr id="6" name="Image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73" cy="22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FED9" w14:textId="77777777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 xml:space="preserve">Après avoir rappelé l’expression de la loi de Beer-Lambert en indiquant les unités des grandeurs, déterminer si les résultats expérimentaux obtenus sont en accord avec cette loi. </w:t>
      </w:r>
    </w:p>
    <w:p w14:paraId="63BAAD23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lang w:eastAsia="en-US"/>
        </w:rPr>
      </w:pPr>
    </w:p>
    <w:p w14:paraId="0B90FD8C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b/>
          <w:lang w:eastAsia="en-US"/>
        </w:rPr>
      </w:pPr>
      <w:r w:rsidRPr="009D1C09">
        <w:rPr>
          <w:rFonts w:cs="Arial"/>
          <w:b/>
          <w:lang w:eastAsia="en-US"/>
        </w:rPr>
        <w:t>Détermination de la concentration en ions thiocyanate dans la salive</w:t>
      </w:r>
    </w:p>
    <w:p w14:paraId="57EC39DF" w14:textId="5EC13355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</w:rPr>
      </w:pPr>
      <w:r w:rsidRPr="009D1C09">
        <w:rPr>
          <w:rFonts w:cs="Arial"/>
        </w:rPr>
        <w:t xml:space="preserve">Dans la solution </w:t>
      </w:r>
      <w:r w:rsidRPr="009D1C09">
        <w:rPr>
          <w:rFonts w:cs="Arial"/>
          <w:b/>
        </w:rPr>
        <w:t>S’</w:t>
      </w:r>
      <w:r w:rsidRPr="009D1C09">
        <w:rPr>
          <w:rFonts w:cs="Arial"/>
        </w:rPr>
        <w:t xml:space="preserve"> tous les ions thiocyanate contenus dans la salive de la femme enceinte ont réagi avec les ions </w:t>
      </w:r>
      <w:r w:rsidRPr="009D1C09">
        <w:rPr>
          <w:rFonts w:cs="Arial"/>
          <w:i/>
        </w:rPr>
        <w:t>Fe</w:t>
      </w:r>
      <w:r w:rsidRPr="009D1C09">
        <w:rPr>
          <w:rFonts w:cs="Arial"/>
          <w:i/>
          <w:vertAlign w:val="superscript"/>
        </w:rPr>
        <w:t>3+</w:t>
      </w:r>
      <w:r w:rsidRPr="009D1C09">
        <w:rPr>
          <w:rFonts w:cs="Arial"/>
        </w:rPr>
        <w:t xml:space="preserve"> présents en large excès. L'absorbance de la solution </w:t>
      </w:r>
      <w:proofErr w:type="gramStart"/>
      <w:r w:rsidRPr="009D1C09">
        <w:rPr>
          <w:rFonts w:cs="Arial"/>
          <w:b/>
        </w:rPr>
        <w:t>S’</w:t>
      </w:r>
      <w:r w:rsidRPr="009D1C09">
        <w:rPr>
          <w:rFonts w:cs="Arial"/>
        </w:rPr>
        <w:t xml:space="preserve"> a</w:t>
      </w:r>
      <w:proofErr w:type="gramEnd"/>
      <w:r w:rsidRPr="009D1C09">
        <w:rPr>
          <w:rFonts w:cs="Arial"/>
        </w:rPr>
        <w:t xml:space="preserve"> pour valeur </w:t>
      </w:r>
      <w:r w:rsidRPr="009D1C09">
        <w:rPr>
          <w:rFonts w:cs="Arial"/>
          <w:i/>
        </w:rPr>
        <w:t>A</w:t>
      </w:r>
      <w:r w:rsidR="002B52C7">
        <w:rPr>
          <w:rFonts w:cs="Arial"/>
        </w:rPr>
        <w:t> </w:t>
      </w:r>
      <w:r w:rsidRPr="009D1C09">
        <w:rPr>
          <w:rFonts w:cs="Arial"/>
        </w:rPr>
        <w:t xml:space="preserve">= 0,65. </w:t>
      </w:r>
    </w:p>
    <w:p w14:paraId="1C7503D2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</w:rPr>
      </w:pPr>
    </w:p>
    <w:p w14:paraId="502040AB" w14:textId="588B056C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cs="Arial"/>
        </w:rPr>
      </w:pPr>
      <w:r w:rsidRPr="009D1C09">
        <w:rPr>
          <w:rFonts w:cs="Arial"/>
        </w:rPr>
        <w:t xml:space="preserve">Déterminer la concentration en quantité de matière des ions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</m:oMath>
      <w:r w:rsidRPr="009D1C09">
        <w:rPr>
          <w:rFonts w:cs="Arial"/>
        </w:rPr>
        <w:t xml:space="preserve">dans la solution </w:t>
      </w:r>
      <w:r w:rsidRPr="009D1C09">
        <w:rPr>
          <w:rFonts w:cs="Arial"/>
          <w:b/>
        </w:rPr>
        <w:t>S’</w:t>
      </w:r>
      <w:r w:rsidRPr="009D1C09">
        <w:rPr>
          <w:rFonts w:cs="Arial"/>
        </w:rPr>
        <w:t xml:space="preserve">. En déduire leur quantité de matière dans la solution de volume </w:t>
      </w:r>
      <w:r w:rsidRPr="009D1C09">
        <w:rPr>
          <w:rFonts w:cs="Arial"/>
          <w:i/>
        </w:rPr>
        <w:t>V</w:t>
      </w:r>
      <w:r w:rsidRPr="009D1C09">
        <w:rPr>
          <w:rFonts w:cs="Arial"/>
        </w:rPr>
        <w:t xml:space="preserve"> = 10,0 mL.</w:t>
      </w:r>
    </w:p>
    <w:p w14:paraId="005DAE80" w14:textId="77777777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cs="Arial"/>
        </w:rPr>
      </w:pPr>
      <w:r w:rsidRPr="009D1C09">
        <w:rPr>
          <w:rFonts w:cs="Arial"/>
        </w:rPr>
        <w:t xml:space="preserve">Recopier et compléter le tableau d’avancement ci-dessous. En déduire la relation entre la quantité de matière des ions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</m:oMath>
      <w:r w:rsidRPr="009D1C09">
        <w:rPr>
          <w:rFonts w:cs="Arial"/>
          <w:i/>
          <w:lang w:eastAsia="en-US"/>
        </w:rPr>
        <w:t xml:space="preserve"> </w:t>
      </w:r>
      <w:r w:rsidRPr="009D1C09">
        <w:rPr>
          <w:rFonts w:cs="Arial"/>
        </w:rPr>
        <w:t xml:space="preserve">à la fin de la transformation et la quantité de matière en ions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SCN</m:t>
            </m:r>
          </m:e>
          <m:sup>
            <m:r>
              <w:rPr>
                <w:rFonts w:ascii="Cambria Math" w:hAnsi="Cambria Math" w:cs="Arial"/>
              </w:rPr>
              <m:t>-</m:t>
            </m:r>
          </m:sup>
        </m:sSup>
      </m:oMath>
      <w:r w:rsidRPr="009D1C09">
        <w:rPr>
          <w:rFonts w:cs="Arial"/>
        </w:rPr>
        <w:t xml:space="preserve"> initialement présente dans la solution. </w:t>
      </w:r>
    </w:p>
    <w:p w14:paraId="24FC17D4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</w:rPr>
      </w:pPr>
    </w:p>
    <w:tbl>
      <w:tblPr>
        <w:tblW w:w="9244" w:type="dxa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1568"/>
        <w:gridCol w:w="1723"/>
        <w:gridCol w:w="1566"/>
        <w:gridCol w:w="2351"/>
      </w:tblGrid>
      <w:tr w:rsidR="009D1C09" w:rsidRPr="009D1C09" w14:paraId="78724A52" w14:textId="77777777" w:rsidTr="002D4307">
        <w:trPr>
          <w:trHeight w:val="332"/>
          <w:tblCellSpacing w:w="0" w:type="dxa"/>
          <w:jc w:val="center"/>
        </w:trPr>
        <w:tc>
          <w:tcPr>
            <w:tcW w:w="360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E3C0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rPr>
                <w:rFonts w:eastAsia="Times New Roman" w:cs="Arial"/>
              </w:rPr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66702CC4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D1C09">
              <w:rPr>
                <w:rFonts w:cs="Arial"/>
                <w:lang w:eastAsia="en-US"/>
              </w:rPr>
              <w:t xml:space="preserve">    </w:t>
            </w:r>
            <m:oMath>
              <m:r>
                <w:rPr>
                  <w:rFonts w:ascii="Cambria Math" w:hAnsi="Cambria Math" w:cs="Arial"/>
                  <w:lang w:eastAsia="en-US"/>
                </w:rPr>
                <m:t xml:space="preserve">   SC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(aq)</m:t>
                  </m:r>
                </m:sub>
                <m:sup>
                  <m:r>
                    <w:rPr>
                      <w:rFonts w:ascii="Cambria Math" w:hAnsi="Cambria Math" w:cs="Arial"/>
                      <w:lang w:eastAsia="en-US"/>
                    </w:rPr>
                    <m:t>-</m:t>
                  </m:r>
                </m:sup>
              </m:sSubSup>
              <m:r>
                <w:rPr>
                  <w:rFonts w:ascii="Cambria Math" w:hAnsi="Cambria Math" w:cs="Arial"/>
                  <w:lang w:eastAsia="en-US"/>
                </w:rPr>
                <m:t xml:space="preserve">     +      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eastAsia="en-US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(aq)</m:t>
                  </m:r>
                </m:sub>
                <m:sup>
                  <m:r>
                    <w:rPr>
                      <w:rFonts w:ascii="Cambria Math" w:hAnsi="Cambria Math" w:cs="Arial"/>
                      <w:lang w:eastAsia="en-US"/>
                    </w:rPr>
                    <m:t>3+</m:t>
                  </m:r>
                </m:sup>
              </m:sSubSup>
              <m:r>
                <w:rPr>
                  <w:rFonts w:ascii="Cambria Math" w:hAnsi="Cambria Math" w:cs="Arial"/>
                  <w:lang w:eastAsia="en-US"/>
                </w:rPr>
                <m:t xml:space="preserve">      →        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eastAsia="en-US"/>
                    </w:rPr>
                    <m:t>Fe(SCN)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(aq)</m:t>
                  </m:r>
                </m:sub>
                <m:sup>
                  <m:r>
                    <w:rPr>
                      <w:rFonts w:ascii="Cambria Math" w:hAnsi="Cambria Math" w:cs="Arial"/>
                      <w:lang w:eastAsia="en-US"/>
                    </w:rPr>
                    <m:t>2+</m:t>
                  </m:r>
                </m:sup>
              </m:sSubSup>
            </m:oMath>
          </w:p>
        </w:tc>
      </w:tr>
      <w:tr w:rsidR="009D1C09" w:rsidRPr="009D1C09" w14:paraId="17CF5230" w14:textId="77777777" w:rsidTr="002D4307">
        <w:trPr>
          <w:trHeight w:val="649"/>
          <w:tblCellSpacing w:w="0" w:type="dxa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39A13F0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État du système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8FBCA75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Avancement (en mol)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E92D666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  <w:i/>
              </w:rPr>
              <w:t>n</w:t>
            </w:r>
            <w:r w:rsidRPr="009D1C09">
              <w:rPr>
                <w:rFonts w:eastAsia="Times New Roman" w:cs="Arial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SCN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</m:sup>
              </m:sSup>
            </m:oMath>
            <w:r w:rsidRPr="009D1C09">
              <w:rPr>
                <w:rFonts w:eastAsia="Times New Roman" w:cs="Arial"/>
              </w:rPr>
              <w:t>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237F678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  <w:i/>
              </w:rPr>
              <w:t>n</w:t>
            </w:r>
            <w:r w:rsidRPr="009D1C09">
              <w:rPr>
                <w:rFonts w:eastAsia="Times New Roman" w:cs="Arial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Fe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3+</m:t>
                  </m:r>
                </m:sup>
              </m:sSup>
            </m:oMath>
            <w:r w:rsidRPr="009D1C09">
              <w:rPr>
                <w:rFonts w:eastAsia="Times New Roman" w:cs="Arial"/>
              </w:rPr>
              <w:t>)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7F75D9E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  <w:i/>
              </w:rPr>
              <w:t>n</w:t>
            </w:r>
            <w:r w:rsidRPr="009D1C09">
              <w:rPr>
                <w:rFonts w:eastAsia="Times New Roman" w:cs="Arial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eastAsia="en-US"/>
                    </w:rPr>
                    <m:t>Fe(SCN)</m:t>
                  </m:r>
                </m:e>
                <m:sup>
                  <m:r>
                    <w:rPr>
                      <w:rFonts w:ascii="Cambria Math" w:hAnsi="Cambria Math" w:cs="Arial"/>
                      <w:lang w:eastAsia="en-US"/>
                    </w:rPr>
                    <m:t>2+</m:t>
                  </m:r>
                </m:sup>
              </m:sSup>
            </m:oMath>
            <w:r w:rsidRPr="009D1C09">
              <w:rPr>
                <w:rFonts w:eastAsia="Times New Roman" w:cs="Arial"/>
              </w:rPr>
              <w:t>)</w:t>
            </w:r>
          </w:p>
        </w:tc>
      </w:tr>
      <w:tr w:rsidR="009D1C09" w:rsidRPr="009D1C09" w14:paraId="3C0FF238" w14:textId="77777777" w:rsidTr="002D4307">
        <w:trPr>
          <w:trHeight w:val="608"/>
          <w:tblCellSpacing w:w="0" w:type="dxa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790C279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État initial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78156ED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x = 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7F09A11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4533B19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excès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80ED50C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</w:p>
        </w:tc>
      </w:tr>
      <w:tr w:rsidR="009D1C09" w:rsidRPr="009D1C09" w14:paraId="520A00FA" w14:textId="77777777" w:rsidTr="002D4307">
        <w:trPr>
          <w:trHeight w:val="624"/>
          <w:tblCellSpacing w:w="0" w:type="dxa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ACC2569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État final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4C40989" w14:textId="77777777" w:rsidR="009D1C09" w:rsidRPr="009D1C09" w:rsidRDefault="009D1C09" w:rsidP="002B52C7">
            <w:pPr>
              <w:pBdr>
                <w:bottom w:val="single" w:sz="4" w:space="0" w:color="auto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proofErr w:type="spellStart"/>
            <w:proofErr w:type="gramStart"/>
            <w:r w:rsidRPr="009D1C09">
              <w:rPr>
                <w:rFonts w:eastAsia="Times New Roman" w:cs="Arial"/>
              </w:rPr>
              <w:t>x</w:t>
            </w:r>
            <w:r w:rsidRPr="009D1C09">
              <w:rPr>
                <w:rFonts w:eastAsia="Times New Roman" w:cs="Arial"/>
                <w:vertAlign w:val="subscript"/>
              </w:rPr>
              <w:t>max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FAE7ED2" w14:textId="77777777" w:rsidR="009D1C09" w:rsidRPr="009D1C09" w:rsidRDefault="009D1C09" w:rsidP="002B52C7">
            <w:pPr>
              <w:pBdr>
                <w:bottom w:val="single" w:sz="4" w:space="0" w:color="auto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4442505" w14:textId="77777777" w:rsidR="009D1C09" w:rsidRPr="009D1C09" w:rsidRDefault="009D1C09" w:rsidP="002B52C7">
            <w:pPr>
              <w:pBdr>
                <w:bottom w:val="single" w:sz="4" w:space="0" w:color="auto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excès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54CE56A" w14:textId="77777777" w:rsidR="009D1C09" w:rsidRPr="009D1C09" w:rsidRDefault="009D1C09" w:rsidP="002B52C7">
            <w:pPr>
              <w:pBdr>
                <w:bottom w:val="single" w:sz="4" w:space="0" w:color="auto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</w:p>
        </w:tc>
      </w:tr>
    </w:tbl>
    <w:p w14:paraId="64D45F1E" w14:textId="685BF472" w:rsid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</w:rPr>
      </w:pPr>
    </w:p>
    <w:p w14:paraId="2ABDAF0E" w14:textId="77777777" w:rsidR="002B52C7" w:rsidRPr="009D1C09" w:rsidRDefault="002B52C7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</w:rPr>
      </w:pPr>
    </w:p>
    <w:p w14:paraId="4251FC1B" w14:textId="77777777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cs="Arial"/>
        </w:rPr>
      </w:pPr>
      <w:r w:rsidRPr="009D1C09">
        <w:rPr>
          <w:rFonts w:cs="Arial"/>
        </w:rPr>
        <w:t>Déterminer la valeur de la concentration en masse des ions thiocyanate SCN</w:t>
      </w:r>
      <w:r w:rsidRPr="009D1C09">
        <w:rPr>
          <w:rFonts w:cs="Arial"/>
          <w:vertAlign w:val="superscript"/>
        </w:rPr>
        <w:t>−</w:t>
      </w:r>
      <w:r w:rsidRPr="009D1C09">
        <w:rPr>
          <w:rFonts w:cs="Arial"/>
        </w:rPr>
        <w:t xml:space="preserve"> dans l’échantillon</w:t>
      </w:r>
      <w:bookmarkStart w:id="0" w:name="_GoBack"/>
      <w:bookmarkEnd w:id="0"/>
      <w:r w:rsidRPr="009D1C09">
        <w:rPr>
          <w:rFonts w:cs="Arial"/>
        </w:rPr>
        <w:t xml:space="preserve"> de salive de la femme enceinte et conclure sur le potentiel tabagisme passif de cette femme.</w:t>
      </w:r>
    </w:p>
    <w:p w14:paraId="5E417B76" w14:textId="77777777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jc w:val="both"/>
        <w:rPr>
          <w:rFonts w:cs="Arial"/>
        </w:rPr>
      </w:pPr>
      <w:r w:rsidRPr="009D1C09">
        <w:rPr>
          <w:rFonts w:cs="Arial"/>
          <w:i/>
          <w:iCs/>
          <w:lang w:eastAsia="en-US"/>
        </w:rPr>
        <w:t xml:space="preserve">L’élève est invité à prendre des initiatives et à présenter la démarche suivie, même si elle n’a pas abouti. </w:t>
      </w:r>
    </w:p>
    <w:sectPr w:rsidR="009D1C09" w:rsidRPr="009D1C09" w:rsidSect="00F81F20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3D23" w14:textId="77777777" w:rsidR="001874BD" w:rsidRDefault="001874BD" w:rsidP="0053612B">
      <w:pPr>
        <w:spacing w:after="0" w:line="240" w:lineRule="auto"/>
      </w:pPr>
      <w:r>
        <w:separator/>
      </w:r>
    </w:p>
  </w:endnote>
  <w:endnote w:type="continuationSeparator" w:id="0">
    <w:p w14:paraId="6DAE7B5C" w14:textId="77777777" w:rsidR="001874BD" w:rsidRDefault="001874BD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Corps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BA95" w14:textId="77777777" w:rsidR="001874BD" w:rsidRDefault="001874BD" w:rsidP="0053612B">
      <w:pPr>
        <w:spacing w:after="0" w:line="240" w:lineRule="auto"/>
      </w:pPr>
      <w:r>
        <w:separator/>
      </w:r>
    </w:p>
  </w:footnote>
  <w:footnote w:type="continuationSeparator" w:id="0">
    <w:p w14:paraId="33FEB4DD" w14:textId="77777777" w:rsidR="001874BD" w:rsidRDefault="001874BD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B23"/>
    <w:multiLevelType w:val="hybridMultilevel"/>
    <w:tmpl w:val="A6EC1E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641E9"/>
    <w:multiLevelType w:val="hybridMultilevel"/>
    <w:tmpl w:val="F08E10CE"/>
    <w:lvl w:ilvl="0" w:tplc="D4D0E9C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643E"/>
    <w:multiLevelType w:val="multilevel"/>
    <w:tmpl w:val="934C4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616F16"/>
    <w:multiLevelType w:val="hybridMultilevel"/>
    <w:tmpl w:val="342E3D5C"/>
    <w:lvl w:ilvl="0" w:tplc="356E3DBE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817F17"/>
    <w:multiLevelType w:val="hybridMultilevel"/>
    <w:tmpl w:val="AD02C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631"/>
    <w:multiLevelType w:val="hybridMultilevel"/>
    <w:tmpl w:val="29446F7C"/>
    <w:lvl w:ilvl="0" w:tplc="10980CA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75622"/>
    <w:multiLevelType w:val="hybridMultilevel"/>
    <w:tmpl w:val="E740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E31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705F"/>
    <w:multiLevelType w:val="hybridMultilevel"/>
    <w:tmpl w:val="619AD9A6"/>
    <w:lvl w:ilvl="0" w:tplc="6BB43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67CFB36">
      <w:start w:val="1"/>
      <w:numFmt w:val="lowerLetter"/>
      <w:lvlText w:val="%2."/>
      <w:lvlJc w:val="left"/>
      <w:pPr>
        <w:ind w:left="1440" w:hanging="360"/>
      </w:pPr>
    </w:lvl>
    <w:lvl w:ilvl="2" w:tplc="F606EB24">
      <w:start w:val="1"/>
      <w:numFmt w:val="lowerRoman"/>
      <w:lvlText w:val="%3."/>
      <w:lvlJc w:val="right"/>
      <w:pPr>
        <w:ind w:left="2160" w:hanging="180"/>
      </w:pPr>
    </w:lvl>
    <w:lvl w:ilvl="3" w:tplc="6E02B498">
      <w:start w:val="1"/>
      <w:numFmt w:val="decimal"/>
      <w:lvlText w:val="%4."/>
      <w:lvlJc w:val="left"/>
      <w:pPr>
        <w:ind w:left="2880" w:hanging="360"/>
      </w:pPr>
    </w:lvl>
    <w:lvl w:ilvl="4" w:tplc="E0D2784A">
      <w:start w:val="1"/>
      <w:numFmt w:val="lowerLetter"/>
      <w:lvlText w:val="%5."/>
      <w:lvlJc w:val="left"/>
      <w:pPr>
        <w:ind w:left="3600" w:hanging="360"/>
      </w:pPr>
    </w:lvl>
    <w:lvl w:ilvl="5" w:tplc="3A4AB1A6">
      <w:start w:val="1"/>
      <w:numFmt w:val="lowerRoman"/>
      <w:lvlText w:val="%6."/>
      <w:lvlJc w:val="right"/>
      <w:pPr>
        <w:ind w:left="4320" w:hanging="180"/>
      </w:pPr>
    </w:lvl>
    <w:lvl w:ilvl="6" w:tplc="CBC4981A">
      <w:start w:val="1"/>
      <w:numFmt w:val="decimal"/>
      <w:lvlText w:val="%7."/>
      <w:lvlJc w:val="left"/>
      <w:pPr>
        <w:ind w:left="5040" w:hanging="360"/>
      </w:pPr>
    </w:lvl>
    <w:lvl w:ilvl="7" w:tplc="8C7C088C">
      <w:start w:val="1"/>
      <w:numFmt w:val="lowerLetter"/>
      <w:lvlText w:val="%8."/>
      <w:lvlJc w:val="left"/>
      <w:pPr>
        <w:ind w:left="5760" w:hanging="360"/>
      </w:pPr>
    </w:lvl>
    <w:lvl w:ilvl="8" w:tplc="485E95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8197C"/>
    <w:multiLevelType w:val="multilevel"/>
    <w:tmpl w:val="A5C4D7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abstractNum w:abstractNumId="9" w15:restartNumberingAfterBreak="0">
    <w:nsid w:val="47AF47F2"/>
    <w:multiLevelType w:val="hybridMultilevel"/>
    <w:tmpl w:val="2482EF08"/>
    <w:lvl w:ilvl="0" w:tplc="224AB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881"/>
    <w:multiLevelType w:val="multilevel"/>
    <w:tmpl w:val="4120CF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563A"/>
    <w:rsid w:val="001771F9"/>
    <w:rsid w:val="001874BD"/>
    <w:rsid w:val="001C1F3A"/>
    <w:rsid w:val="001E5D86"/>
    <w:rsid w:val="0023120E"/>
    <w:rsid w:val="002356EA"/>
    <w:rsid w:val="002A68A6"/>
    <w:rsid w:val="002B20A9"/>
    <w:rsid w:val="002B52C7"/>
    <w:rsid w:val="002E4943"/>
    <w:rsid w:val="00330E2F"/>
    <w:rsid w:val="003408B3"/>
    <w:rsid w:val="00350129"/>
    <w:rsid w:val="0036631C"/>
    <w:rsid w:val="003D1776"/>
    <w:rsid w:val="0048373A"/>
    <w:rsid w:val="00497FD1"/>
    <w:rsid w:val="004B41C6"/>
    <w:rsid w:val="004C7596"/>
    <w:rsid w:val="004F13CF"/>
    <w:rsid w:val="005122FA"/>
    <w:rsid w:val="0053612B"/>
    <w:rsid w:val="00567324"/>
    <w:rsid w:val="00571B73"/>
    <w:rsid w:val="005822C2"/>
    <w:rsid w:val="00590DE3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845EA"/>
    <w:rsid w:val="007A5C7B"/>
    <w:rsid w:val="007A7764"/>
    <w:rsid w:val="007C35A8"/>
    <w:rsid w:val="00826640"/>
    <w:rsid w:val="00837873"/>
    <w:rsid w:val="0084040C"/>
    <w:rsid w:val="00857478"/>
    <w:rsid w:val="00860F2B"/>
    <w:rsid w:val="00875770"/>
    <w:rsid w:val="0089178E"/>
    <w:rsid w:val="00893F38"/>
    <w:rsid w:val="008E2217"/>
    <w:rsid w:val="008E5053"/>
    <w:rsid w:val="008F477F"/>
    <w:rsid w:val="008F72C8"/>
    <w:rsid w:val="00977ADB"/>
    <w:rsid w:val="009D1A0F"/>
    <w:rsid w:val="009D1C09"/>
    <w:rsid w:val="009D7A17"/>
    <w:rsid w:val="009E0FEA"/>
    <w:rsid w:val="00A30FA0"/>
    <w:rsid w:val="00A61AC9"/>
    <w:rsid w:val="00A76AD3"/>
    <w:rsid w:val="00AB4BAE"/>
    <w:rsid w:val="00AB649A"/>
    <w:rsid w:val="00AD38CA"/>
    <w:rsid w:val="00AF5BC9"/>
    <w:rsid w:val="00B01E20"/>
    <w:rsid w:val="00B13C1A"/>
    <w:rsid w:val="00B2660B"/>
    <w:rsid w:val="00B850C9"/>
    <w:rsid w:val="00B86267"/>
    <w:rsid w:val="00B92318"/>
    <w:rsid w:val="00C17A52"/>
    <w:rsid w:val="00C33076"/>
    <w:rsid w:val="00C346F7"/>
    <w:rsid w:val="00C44650"/>
    <w:rsid w:val="00C556CB"/>
    <w:rsid w:val="00C67037"/>
    <w:rsid w:val="00C8311A"/>
    <w:rsid w:val="00C86FE7"/>
    <w:rsid w:val="00CA5A3D"/>
    <w:rsid w:val="00CA5D1C"/>
    <w:rsid w:val="00CB5AF5"/>
    <w:rsid w:val="00CB6093"/>
    <w:rsid w:val="00CC0053"/>
    <w:rsid w:val="00D15825"/>
    <w:rsid w:val="00D545E4"/>
    <w:rsid w:val="00D760A4"/>
    <w:rsid w:val="00D97177"/>
    <w:rsid w:val="00DE4DEA"/>
    <w:rsid w:val="00DF0EB1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81F20"/>
    <w:rsid w:val="00FA108B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B86267"/>
    <w:rPr>
      <w:rFonts w:eastAsiaTheme="minorHAnsi" w:cs="Times New Roman (Corps CS)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6F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rsid w:val="00C86F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1C1F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9D1C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1E5D8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ipubli.inserm.fr/bitstream/handle/10608/149/?sequence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2020-04-04T08:35:00Z</dcterms:created>
  <dcterms:modified xsi:type="dcterms:W3CDTF">2020-04-04T08:39:00Z</dcterms:modified>
</cp:coreProperties>
</file>