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9889" w:type="dxa"/>
        <w:tblLook w:val="04A0" w:firstRow="1" w:lastRow="0" w:firstColumn="1" w:lastColumn="0" w:noHBand="0" w:noVBand="1"/>
      </w:tblPr>
      <w:tblGrid>
        <w:gridCol w:w="9889"/>
      </w:tblGrid>
      <w:tr w:rsidR="0089178E" w14:paraId="4713D40A" w14:textId="77777777" w:rsidTr="0058798D">
        <w:tc>
          <w:tcPr>
            <w:tcW w:w="9889" w:type="dxa"/>
          </w:tcPr>
          <w:p w14:paraId="69F069B2" w14:textId="3E6CB78F" w:rsidR="0025498F" w:rsidRPr="0025498F" w:rsidRDefault="0089178E" w:rsidP="0025498F">
            <w:pPr>
              <w:spacing w:line="240" w:lineRule="auto"/>
              <w:ind w:left="0"/>
              <w:jc w:val="center"/>
              <w:rPr>
                <w:rFonts w:eastAsia="Times New Roman"/>
                <w:b/>
                <w:szCs w:val="22"/>
              </w:rPr>
            </w:pPr>
            <w:r w:rsidRPr="00E51FB5">
              <w:rPr>
                <w:rFonts w:eastAsia="Times New Roman"/>
                <w:b/>
                <w:szCs w:val="22"/>
              </w:rPr>
              <w:t>ÉPREUVES COMMUNES DE CONTRÔLE CONTINU</w:t>
            </w:r>
            <w:r w:rsidR="0025498F">
              <w:rPr>
                <w:rFonts w:eastAsia="Times New Roman"/>
                <w:b/>
                <w:szCs w:val="22"/>
              </w:rPr>
              <w:t xml:space="preserve"> 2020 </w:t>
            </w:r>
            <w:hyperlink r:id="rId7" w:history="1">
              <w:r w:rsidR="0025498F" w:rsidRPr="005F586D">
                <w:rPr>
                  <w:rStyle w:val="Lienhypertexte"/>
                  <w:rFonts w:eastAsia="Times New Roman"/>
                  <w:b/>
                  <w:szCs w:val="22"/>
                </w:rPr>
                <w:t>http://labolycee.org</w:t>
              </w:r>
            </w:hyperlink>
            <w:r w:rsidR="0025498F">
              <w:rPr>
                <w:rFonts w:eastAsia="Times New Roman"/>
                <w:b/>
                <w:szCs w:val="22"/>
              </w:rPr>
              <w:t xml:space="preserve"> </w:t>
            </w:r>
          </w:p>
        </w:tc>
      </w:tr>
      <w:tr w:rsidR="0089178E" w14:paraId="129B2E26" w14:textId="77777777" w:rsidTr="0058798D">
        <w:tc>
          <w:tcPr>
            <w:tcW w:w="9889" w:type="dxa"/>
          </w:tcPr>
          <w:p w14:paraId="2EF13902" w14:textId="4C756DA1" w:rsidR="0089178E" w:rsidRPr="00893F38" w:rsidRDefault="0089178E" w:rsidP="0058798D">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25498F">
              <w:rPr>
                <w:rFonts w:eastAsia="Times New Roman"/>
                <w:color w:val="000000" w:themeColor="text1"/>
                <w:sz w:val="20"/>
                <w:szCs w:val="22"/>
              </w:rPr>
              <w:tab/>
            </w:r>
            <w:r w:rsidR="0025498F">
              <w:rPr>
                <w:rFonts w:eastAsia="Times New Roman"/>
                <w:color w:val="000000" w:themeColor="text1"/>
                <w:sz w:val="20"/>
                <w:szCs w:val="22"/>
              </w:rPr>
              <w:tab/>
            </w:r>
            <w:r w:rsidR="0025498F">
              <w:rPr>
                <w:rFonts w:eastAsia="Times New Roman"/>
                <w:color w:val="000000" w:themeColor="text1"/>
                <w:sz w:val="20"/>
                <w:szCs w:val="22"/>
              </w:rPr>
              <w:tab/>
            </w:r>
            <w:r w:rsidR="0025498F">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FA4C93F" w:rsidR="0089178E" w:rsidRPr="00626E0F" w:rsidRDefault="0089178E" w:rsidP="0025498F">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25498F">
              <w:rPr>
                <w:rFonts w:ascii="MS Gothic" w:eastAsia="MS Gothic" w:hAnsi="MS Gothic"/>
                <w:color w:val="000000" w:themeColor="text1"/>
                <w:sz w:val="20"/>
                <w:szCs w:val="22"/>
              </w:rPr>
              <w:tab/>
            </w:r>
            <w:r w:rsidR="0025498F">
              <w:rPr>
                <w:rFonts w:ascii="MS Gothic" w:eastAsia="MS Gothic" w:hAnsi="MS Gothic"/>
                <w:color w:val="000000" w:themeColor="text1"/>
                <w:sz w:val="20"/>
                <w:szCs w:val="22"/>
              </w:rPr>
              <w:tab/>
            </w:r>
            <w:r w:rsidR="0025498F">
              <w:rPr>
                <w:rFonts w:ascii="MS Gothic" w:eastAsia="MS Gothic" w:hAnsi="MS Gothic"/>
                <w:color w:val="000000" w:themeColor="text1"/>
                <w:sz w:val="20"/>
                <w:szCs w:val="22"/>
              </w:rPr>
              <w:tab/>
            </w:r>
            <w:r w:rsidR="0025498F">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2366C783" w:rsidR="0089178E" w:rsidRPr="0025498F" w:rsidRDefault="0089178E" w:rsidP="0025498F">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25498F">
              <w:rPr>
                <w:rFonts w:eastAsia="Times New Roman"/>
                <w:color w:val="000000" w:themeColor="text1"/>
                <w:sz w:val="20"/>
                <w:szCs w:val="22"/>
              </w:rPr>
              <w:tab/>
            </w:r>
            <w:r w:rsidR="0025498F">
              <w:rPr>
                <w:rFonts w:eastAsia="Times New Roman"/>
                <w:color w:val="000000" w:themeColor="text1"/>
                <w:sz w:val="20"/>
                <w:szCs w:val="22"/>
              </w:rPr>
              <w:tab/>
            </w:r>
            <w:r w:rsidR="0025498F">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DCF8E7B" w14:textId="77777777" w:rsidR="00820CF7" w:rsidRPr="00820CF7" w:rsidRDefault="00820CF7" w:rsidP="00820CF7">
      <w:pPr>
        <w:spacing w:after="0" w:line="276" w:lineRule="auto"/>
        <w:ind w:left="0"/>
        <w:jc w:val="center"/>
        <w:rPr>
          <w:rFonts w:eastAsiaTheme="minorHAnsi" w:cs="Arial"/>
          <w:b/>
          <w:bCs/>
          <w:lang w:eastAsia="en-US"/>
        </w:rPr>
      </w:pPr>
      <w:r w:rsidRPr="00820CF7">
        <w:rPr>
          <w:rFonts w:eastAsiaTheme="minorHAnsi" w:cs="Arial"/>
          <w:b/>
          <w:bCs/>
          <w:lang w:eastAsia="en-US"/>
        </w:rPr>
        <w:t>Teneur en fer d’un produit phytosanitaire (10 points)</w:t>
      </w:r>
    </w:p>
    <w:p w14:paraId="4E99E51E" w14:textId="77777777" w:rsidR="00820CF7" w:rsidRPr="00820CF7" w:rsidRDefault="00820CF7" w:rsidP="0025498F">
      <w:pPr>
        <w:spacing w:after="0" w:line="240" w:lineRule="auto"/>
        <w:ind w:left="0"/>
        <w:jc w:val="both"/>
        <w:rPr>
          <w:rFonts w:eastAsiaTheme="minorHAnsi" w:cs="Arial"/>
          <w:lang w:eastAsia="en-US"/>
        </w:rPr>
      </w:pPr>
      <w:r w:rsidRPr="00820CF7">
        <w:rPr>
          <w:rFonts w:eastAsiaTheme="minorHAnsi" w:cs="Arial"/>
          <w:lang w:eastAsia="en-US"/>
        </w:rPr>
        <w:t>Les feuilles de certaines plantes comme celles des vignes, des rosiers, des pêchers peuvent parfois jaunir tout en gardant des nervures bien vertes. C’est le signe que ces plantes souffrent de chlorose ferrique. Le fer, comme le magnésium, le manganèse ou le zinc sont essentiels à la synthèse de la chlorophylle, et les plantes les puisent dans le sol. Lorsque ces éléments manquent, la chlorophylle n’est plus synthétisée et les feuilles perdent leur couleur verte.</w:t>
      </w:r>
    </w:p>
    <w:p w14:paraId="00F7810D" w14:textId="77777777" w:rsidR="00820CF7" w:rsidRPr="00820CF7" w:rsidRDefault="00820CF7" w:rsidP="00D62F47">
      <w:pPr>
        <w:spacing w:after="0" w:line="240" w:lineRule="auto"/>
        <w:ind w:left="0"/>
        <w:jc w:val="both"/>
        <w:rPr>
          <w:rFonts w:eastAsiaTheme="minorHAnsi" w:cs="Arial"/>
          <w:lang w:eastAsia="en-US"/>
        </w:rPr>
      </w:pPr>
      <w:r w:rsidRPr="00820CF7">
        <w:rPr>
          <w:rFonts w:eastAsiaTheme="minorHAnsi" w:cs="Arial"/>
          <w:lang w:eastAsia="en-US"/>
        </w:rPr>
        <w:t xml:space="preserve">Il est possible de lutter contre la chlorose ferrique grâce à des moyens biologiques ; l’utilisation d’un purin d’ortie peut y contribuer par exemple. </w:t>
      </w:r>
    </w:p>
    <w:p w14:paraId="321E7856" w14:textId="77777777" w:rsidR="00820CF7" w:rsidRPr="00820CF7" w:rsidRDefault="00820CF7" w:rsidP="00D62F47">
      <w:pPr>
        <w:spacing w:after="0" w:line="240" w:lineRule="auto"/>
        <w:ind w:left="0"/>
        <w:jc w:val="both"/>
        <w:rPr>
          <w:rFonts w:eastAsiaTheme="minorHAnsi" w:cs="Arial"/>
          <w:bCs/>
          <w:lang w:eastAsia="en-US"/>
        </w:rPr>
      </w:pPr>
      <w:r w:rsidRPr="00820CF7">
        <w:rPr>
          <w:rFonts w:eastAsiaTheme="minorHAnsi" w:cs="Arial"/>
          <w:bCs/>
          <w:lang w:eastAsia="en-US"/>
        </w:rPr>
        <w:t xml:space="preserve">Il est aussi possible d’utiliser des produits phytosanitaires commerciaux. La teneur en fer d’un produit phytosanitaire anti-chlorose est indiquée sur son emballage : 6,0 % en masse. </w:t>
      </w:r>
    </w:p>
    <w:p w14:paraId="55FB3FF4" w14:textId="77777777" w:rsidR="00820CF7" w:rsidRPr="00820CF7" w:rsidRDefault="00820CF7" w:rsidP="00D62F47">
      <w:pPr>
        <w:spacing w:after="0" w:line="240" w:lineRule="auto"/>
        <w:ind w:left="0"/>
        <w:jc w:val="both"/>
        <w:rPr>
          <w:rFonts w:eastAsiaTheme="minorHAnsi" w:cs="Arial"/>
          <w:bCs/>
          <w:lang w:eastAsia="en-US"/>
        </w:rPr>
      </w:pPr>
      <w:r w:rsidRPr="00820CF7">
        <w:rPr>
          <w:rFonts w:eastAsiaTheme="minorHAnsi" w:cs="Arial"/>
          <w:bCs/>
          <w:lang w:eastAsia="en-US"/>
        </w:rPr>
        <w:t xml:space="preserve">L’objectif de cet exercice est d’envisager un titrage par spectrophotométrie adapté au contrôle de qualité de ce produit. </w:t>
      </w:r>
    </w:p>
    <w:p w14:paraId="22D14846" w14:textId="77777777" w:rsidR="00820CF7" w:rsidRPr="00820CF7" w:rsidRDefault="00820CF7" w:rsidP="00820CF7">
      <w:pPr>
        <w:spacing w:after="0" w:line="240" w:lineRule="auto"/>
        <w:ind w:left="0"/>
        <w:rPr>
          <w:rFonts w:eastAsiaTheme="minorHAnsi" w:cs="Arial"/>
          <w:b/>
          <w:bCs/>
          <w:lang w:eastAsia="en-US"/>
        </w:rPr>
      </w:pPr>
    </w:p>
    <w:p w14:paraId="51CE7261" w14:textId="77777777" w:rsidR="00820CF7" w:rsidRPr="00820CF7" w:rsidRDefault="00820CF7" w:rsidP="00820CF7">
      <w:pPr>
        <w:spacing w:after="0" w:line="240" w:lineRule="auto"/>
        <w:ind w:left="0"/>
        <w:rPr>
          <w:rFonts w:eastAsiaTheme="minorHAnsi" w:cs="Arial"/>
          <w:b/>
          <w:bCs/>
          <w:lang w:eastAsia="en-US"/>
        </w:rPr>
      </w:pPr>
      <w:r w:rsidRPr="00820CF7">
        <w:rPr>
          <w:rFonts w:eastAsiaTheme="minorHAnsi" w:cs="Arial"/>
          <w:b/>
          <w:bCs/>
          <w:lang w:eastAsia="en-US"/>
        </w:rPr>
        <w:t>Données :</w:t>
      </w:r>
    </w:p>
    <w:p w14:paraId="7806E1FB" w14:textId="77777777" w:rsidR="00820CF7" w:rsidRPr="00820CF7" w:rsidRDefault="00820CF7" w:rsidP="00820CF7">
      <w:pPr>
        <w:spacing w:after="0" w:line="240" w:lineRule="auto"/>
        <w:ind w:left="0"/>
        <w:rPr>
          <w:rFonts w:eastAsiaTheme="minorHAnsi" w:cs="Arial"/>
          <w:bCs/>
          <w:vertAlign w:val="superscript"/>
          <w:lang w:eastAsia="en-US"/>
        </w:rPr>
      </w:pPr>
      <w:r w:rsidRPr="00820CF7">
        <w:rPr>
          <w:rFonts w:eastAsiaTheme="minorHAnsi" w:cs="Arial"/>
          <w:bCs/>
          <w:lang w:eastAsia="en-US"/>
        </w:rPr>
        <w:t xml:space="preserve">Masse molaire atomique du fer : </w:t>
      </w:r>
      <w:proofErr w:type="spellStart"/>
      <w:r w:rsidRPr="00820CF7">
        <w:rPr>
          <w:rFonts w:eastAsiaTheme="minorHAnsi" w:cs="Arial"/>
          <w:bCs/>
          <w:i/>
          <w:iCs/>
          <w:lang w:eastAsia="en-US"/>
        </w:rPr>
        <w:t>M</w:t>
      </w:r>
      <w:r w:rsidRPr="00820CF7">
        <w:rPr>
          <w:rFonts w:eastAsiaTheme="minorHAnsi" w:cs="Arial"/>
          <w:bCs/>
          <w:vertAlign w:val="subscript"/>
          <w:lang w:eastAsia="en-US"/>
        </w:rPr>
        <w:t>Fe</w:t>
      </w:r>
      <w:proofErr w:type="spellEnd"/>
      <w:r w:rsidRPr="00820CF7">
        <w:rPr>
          <w:rFonts w:eastAsiaTheme="minorHAnsi" w:cs="Arial"/>
          <w:bCs/>
          <w:vertAlign w:val="subscript"/>
          <w:lang w:eastAsia="en-US"/>
        </w:rPr>
        <w:t xml:space="preserve"> </w:t>
      </w:r>
      <w:r w:rsidRPr="00820CF7">
        <w:rPr>
          <w:rFonts w:eastAsiaTheme="minorHAnsi" w:cs="Arial"/>
          <w:bCs/>
          <w:lang w:eastAsia="en-US"/>
        </w:rPr>
        <w:t>= 56,0 g.mol</w:t>
      </w:r>
      <w:r w:rsidRPr="00820CF7">
        <w:rPr>
          <w:rFonts w:eastAsiaTheme="minorHAnsi" w:cs="Arial"/>
          <w:bCs/>
          <w:vertAlign w:val="superscript"/>
          <w:lang w:eastAsia="en-US"/>
        </w:rPr>
        <w:t>-1</w:t>
      </w:r>
    </w:p>
    <w:p w14:paraId="3B1845DB" w14:textId="77777777" w:rsidR="00820CF7" w:rsidRPr="00820CF7" w:rsidRDefault="00820CF7" w:rsidP="00820CF7">
      <w:pPr>
        <w:spacing w:after="0" w:line="240" w:lineRule="auto"/>
        <w:ind w:left="0"/>
        <w:rPr>
          <w:rFonts w:eastAsiaTheme="minorHAnsi" w:cs="Arial"/>
          <w:bCs/>
          <w:lang w:eastAsia="en-US"/>
        </w:rPr>
      </w:pPr>
      <w:r w:rsidRPr="00820CF7">
        <w:rPr>
          <w:rFonts w:eastAsiaTheme="minorHAnsi" w:cs="Arial"/>
          <w:bCs/>
          <w:lang w:eastAsia="en-US"/>
        </w:rPr>
        <w:t>Couples oxydant/réducteur :</w:t>
      </w:r>
      <w:r w:rsidRPr="00820CF7">
        <w:rPr>
          <w:rFonts w:eastAsiaTheme="minorHAnsi" w:cs="Arial"/>
          <w:bCs/>
          <w:vertAlign w:val="superscript"/>
          <w:lang w:eastAsia="en-US"/>
        </w:rPr>
        <w:t xml:space="preserve"> </w:t>
      </w:r>
      <w:r w:rsidRPr="00820CF7">
        <w:rPr>
          <w:rFonts w:eastAsiaTheme="minorHAnsi" w:cs="Arial"/>
          <w:bCs/>
          <w:lang w:eastAsia="en-US"/>
        </w:rPr>
        <w:t>MnO</w:t>
      </w:r>
      <w:r w:rsidRPr="00820CF7">
        <w:rPr>
          <w:rFonts w:eastAsiaTheme="minorHAnsi" w:cs="Arial"/>
          <w:bCs/>
          <w:vertAlign w:val="subscript"/>
          <w:lang w:eastAsia="en-US"/>
        </w:rPr>
        <w:t>4</w:t>
      </w:r>
      <w:r w:rsidRPr="00820CF7">
        <w:rPr>
          <w:rFonts w:eastAsiaTheme="minorHAnsi" w:cs="Arial"/>
          <w:bCs/>
          <w:vertAlign w:val="superscript"/>
          <w:lang w:eastAsia="en-US"/>
        </w:rPr>
        <w:t>-</w:t>
      </w:r>
      <w:r w:rsidRPr="00820CF7">
        <w:rPr>
          <w:rFonts w:eastAsiaTheme="minorHAnsi" w:cs="Arial"/>
          <w:bCs/>
          <w:lang w:eastAsia="en-US"/>
        </w:rPr>
        <w:t>/Mn</w:t>
      </w:r>
      <w:r w:rsidRPr="00820CF7">
        <w:rPr>
          <w:rFonts w:eastAsiaTheme="minorHAnsi" w:cs="Arial"/>
          <w:bCs/>
          <w:vertAlign w:val="superscript"/>
          <w:lang w:eastAsia="en-US"/>
        </w:rPr>
        <w:t>2+</w:t>
      </w:r>
      <w:r w:rsidRPr="00820CF7">
        <w:rPr>
          <w:rFonts w:eastAsiaTheme="minorHAnsi" w:cs="Arial"/>
          <w:bCs/>
          <w:lang w:eastAsia="en-US"/>
        </w:rPr>
        <w:t xml:space="preserve"> (incolore) ; S</w:t>
      </w:r>
      <w:r w:rsidRPr="00820CF7">
        <w:rPr>
          <w:rFonts w:eastAsiaTheme="minorHAnsi" w:cs="Arial"/>
          <w:bCs/>
          <w:vertAlign w:val="subscript"/>
          <w:lang w:eastAsia="en-US"/>
        </w:rPr>
        <w:t>2</w:t>
      </w:r>
      <w:r w:rsidRPr="00820CF7">
        <w:rPr>
          <w:rFonts w:eastAsiaTheme="minorHAnsi" w:cs="Arial"/>
          <w:bCs/>
          <w:lang w:eastAsia="en-US"/>
        </w:rPr>
        <w:t>O</w:t>
      </w:r>
      <w:r w:rsidRPr="00820CF7">
        <w:rPr>
          <w:rFonts w:eastAsiaTheme="minorHAnsi" w:cs="Arial"/>
          <w:bCs/>
          <w:vertAlign w:val="subscript"/>
          <w:lang w:eastAsia="en-US"/>
        </w:rPr>
        <w:t>8</w:t>
      </w:r>
      <w:r w:rsidRPr="00820CF7">
        <w:rPr>
          <w:rFonts w:eastAsiaTheme="minorHAnsi" w:cs="Arial"/>
          <w:bCs/>
          <w:vertAlign w:val="superscript"/>
          <w:lang w:eastAsia="en-US"/>
        </w:rPr>
        <w:t>2-</w:t>
      </w:r>
      <w:r w:rsidRPr="00820CF7">
        <w:rPr>
          <w:rFonts w:eastAsiaTheme="minorHAnsi" w:cs="Arial"/>
          <w:bCs/>
          <w:lang w:eastAsia="en-US"/>
        </w:rPr>
        <w:t>/SO</w:t>
      </w:r>
      <w:r w:rsidRPr="00820CF7">
        <w:rPr>
          <w:rFonts w:eastAsiaTheme="minorHAnsi" w:cs="Arial"/>
          <w:bCs/>
          <w:vertAlign w:val="subscript"/>
          <w:lang w:eastAsia="en-US"/>
        </w:rPr>
        <w:t>4</w:t>
      </w:r>
      <w:r w:rsidRPr="00820CF7">
        <w:rPr>
          <w:rFonts w:eastAsiaTheme="minorHAnsi" w:cs="Arial"/>
          <w:bCs/>
          <w:vertAlign w:val="superscript"/>
          <w:lang w:eastAsia="en-US"/>
        </w:rPr>
        <w:t>2-</w:t>
      </w:r>
      <w:r w:rsidRPr="00820CF7">
        <w:rPr>
          <w:rFonts w:eastAsiaTheme="minorHAnsi" w:cs="Arial"/>
          <w:bCs/>
          <w:lang w:eastAsia="en-US"/>
        </w:rPr>
        <w:t xml:space="preserve">(incolore) ; </w:t>
      </w:r>
    </w:p>
    <w:p w14:paraId="2D3CBD26" w14:textId="77777777" w:rsidR="00820CF7" w:rsidRPr="00820CF7" w:rsidRDefault="00820CF7" w:rsidP="00820CF7">
      <w:pPr>
        <w:spacing w:after="0" w:line="240" w:lineRule="auto"/>
        <w:ind w:left="0"/>
        <w:rPr>
          <w:rFonts w:eastAsiaTheme="minorHAnsi" w:cs="Arial"/>
          <w:bCs/>
          <w:vertAlign w:val="superscript"/>
          <w:lang w:eastAsia="en-US"/>
        </w:rPr>
      </w:pPr>
      <w:r w:rsidRPr="00820CF7">
        <w:rPr>
          <w:rFonts w:eastAsiaTheme="minorHAnsi" w:cs="Arial"/>
          <w:bCs/>
          <w:lang w:eastAsia="en-US"/>
        </w:rPr>
        <w:t>Fe</w:t>
      </w:r>
      <w:r w:rsidRPr="00820CF7">
        <w:rPr>
          <w:rFonts w:eastAsiaTheme="minorHAnsi" w:cs="Arial"/>
          <w:bCs/>
          <w:vertAlign w:val="superscript"/>
          <w:lang w:eastAsia="en-US"/>
        </w:rPr>
        <w:t>3+</w:t>
      </w:r>
      <w:r w:rsidRPr="00820CF7">
        <w:rPr>
          <w:rFonts w:eastAsiaTheme="minorHAnsi" w:cs="Arial"/>
          <w:bCs/>
          <w:lang w:eastAsia="en-US"/>
        </w:rPr>
        <w:t xml:space="preserve">(orange </w:t>
      </w:r>
      <w:proofErr w:type="gramStart"/>
      <w:r w:rsidRPr="00820CF7">
        <w:rPr>
          <w:rFonts w:eastAsiaTheme="minorHAnsi" w:cs="Arial"/>
          <w:bCs/>
          <w:lang w:eastAsia="en-US"/>
        </w:rPr>
        <w:t>pâle)/</w:t>
      </w:r>
      <w:proofErr w:type="gramEnd"/>
      <w:r w:rsidRPr="00820CF7">
        <w:rPr>
          <w:rFonts w:eastAsiaTheme="minorHAnsi" w:cs="Arial"/>
          <w:bCs/>
          <w:lang w:eastAsia="en-US"/>
        </w:rPr>
        <w:t>Fe</w:t>
      </w:r>
      <w:r w:rsidRPr="00820CF7">
        <w:rPr>
          <w:rFonts w:eastAsiaTheme="minorHAnsi" w:cs="Arial"/>
          <w:bCs/>
          <w:vertAlign w:val="superscript"/>
          <w:lang w:eastAsia="en-US"/>
        </w:rPr>
        <w:t>2+</w:t>
      </w:r>
      <w:r w:rsidRPr="00820CF7">
        <w:rPr>
          <w:rFonts w:eastAsiaTheme="minorHAnsi" w:cs="Arial"/>
          <w:bCs/>
          <w:lang w:eastAsia="en-US"/>
        </w:rPr>
        <w:t>(vert pâle)</w:t>
      </w:r>
    </w:p>
    <w:p w14:paraId="0E312570" w14:textId="1BBD94F7" w:rsidR="00820CF7" w:rsidRPr="00820CF7" w:rsidRDefault="00820CF7" w:rsidP="00D62F47">
      <w:pPr>
        <w:spacing w:after="200" w:line="276" w:lineRule="auto"/>
        <w:ind w:left="0"/>
        <w:jc w:val="both"/>
        <w:rPr>
          <w:rFonts w:eastAsiaTheme="minorHAnsi" w:cs="Arial"/>
          <w:b/>
          <w:bCs/>
          <w:lang w:eastAsia="en-US"/>
        </w:rPr>
      </w:pPr>
      <w:r w:rsidRPr="00820CF7">
        <w:rPr>
          <w:rFonts w:eastAsiaTheme="minorHAnsi" w:cs="Arial"/>
          <w:bCs/>
          <w:lang w:eastAsia="en-US"/>
        </w:rPr>
        <w:t xml:space="preserve">Spectre d’absorption d’une solution de permanganate de potassium de </w:t>
      </w:r>
      <w:r w:rsidR="00D62F47">
        <w:rPr>
          <w:rFonts w:eastAsiaTheme="minorHAnsi" w:cs="Arial"/>
          <w:bCs/>
          <w:lang w:eastAsia="en-US"/>
        </w:rPr>
        <w:br/>
      </w:r>
      <w:r w:rsidRPr="00820CF7">
        <w:rPr>
          <w:rFonts w:eastAsiaTheme="minorHAnsi" w:cs="Arial"/>
          <w:bCs/>
          <w:lang w:eastAsia="en-US"/>
        </w:rPr>
        <w:t>concentration 2,5</w:t>
      </w:r>
      <m:oMath>
        <m:r>
          <w:rPr>
            <w:rFonts w:ascii="Cambria Math" w:eastAsiaTheme="minorHAnsi" w:hAnsi="Cambria Math" w:cs="Arial"/>
            <w:lang w:eastAsia="en-US"/>
          </w:rPr>
          <m:t>×</m:t>
        </m:r>
      </m:oMath>
      <w:r w:rsidRPr="00820CF7">
        <w:rPr>
          <w:rFonts w:eastAsiaTheme="minorHAnsi" w:cs="Arial"/>
          <w:bCs/>
          <w:lang w:eastAsia="en-US"/>
        </w:rPr>
        <w:t>10</w:t>
      </w:r>
      <w:r w:rsidRPr="00820CF7">
        <w:rPr>
          <w:rFonts w:eastAsiaTheme="minorHAnsi" w:cs="Arial"/>
          <w:bCs/>
          <w:vertAlign w:val="superscript"/>
          <w:lang w:eastAsia="en-US"/>
        </w:rPr>
        <w:t>-4</w:t>
      </w:r>
      <w:r w:rsidR="00D62F47">
        <w:rPr>
          <w:rFonts w:eastAsiaTheme="minorHAnsi" w:cs="Arial"/>
          <w:bCs/>
          <w:vertAlign w:val="superscript"/>
          <w:lang w:eastAsia="en-US"/>
        </w:rPr>
        <w:t> </w:t>
      </w:r>
      <w:proofErr w:type="gramStart"/>
      <w:r w:rsidRPr="00820CF7">
        <w:rPr>
          <w:rFonts w:eastAsiaTheme="minorHAnsi" w:cs="Arial"/>
          <w:bCs/>
          <w:lang w:eastAsia="en-US"/>
        </w:rPr>
        <w:t>mol.L</w:t>
      </w:r>
      <w:proofErr w:type="gramEnd"/>
      <w:r w:rsidRPr="00820CF7">
        <w:rPr>
          <w:rFonts w:eastAsiaTheme="minorHAnsi" w:cs="Arial"/>
          <w:bCs/>
          <w:vertAlign w:val="superscript"/>
          <w:lang w:eastAsia="en-US"/>
        </w:rPr>
        <w:t>-1</w:t>
      </w:r>
      <w:r w:rsidRPr="00820CF7">
        <w:rPr>
          <w:rFonts w:eastAsiaTheme="minorHAnsi" w:cs="Arial"/>
          <w:b/>
          <w:bCs/>
          <w:lang w:eastAsia="en-US"/>
        </w:rPr>
        <w:t xml:space="preserve">.      </w:t>
      </w:r>
    </w:p>
    <w:p w14:paraId="0E75E9DF" w14:textId="77777777" w:rsidR="00820CF7" w:rsidRPr="00820CF7" w:rsidRDefault="00820CF7" w:rsidP="00820CF7">
      <w:pPr>
        <w:tabs>
          <w:tab w:val="center" w:pos="4676"/>
          <w:tab w:val="right" w:pos="9072"/>
        </w:tabs>
        <w:spacing w:after="0" w:line="240" w:lineRule="auto"/>
        <w:ind w:left="0"/>
        <w:rPr>
          <w:rFonts w:eastAsiaTheme="minorHAnsi" w:cs="Arial"/>
          <w:b/>
          <w:bCs/>
          <w:lang w:eastAsia="en-US"/>
        </w:rPr>
      </w:pPr>
      <w:r w:rsidRPr="00820CF7">
        <w:rPr>
          <w:rFonts w:eastAsiaTheme="minorHAnsi" w:cs="Arial"/>
          <w:b/>
          <w:bCs/>
          <w:lang w:eastAsia="en-US"/>
        </w:rPr>
        <w:tab/>
      </w:r>
      <w:r w:rsidRPr="00820CF7">
        <w:rPr>
          <w:rFonts w:asciiTheme="minorHAnsi" w:eastAsiaTheme="minorHAnsi" w:hAnsiTheme="minorHAnsi" w:cstheme="minorBidi"/>
          <w:noProof/>
          <w:sz w:val="22"/>
          <w:szCs w:val="22"/>
        </w:rPr>
        <w:drawing>
          <wp:inline distT="0" distB="0" distL="0" distR="0" wp14:anchorId="0AEBE07E" wp14:editId="160FF434">
            <wp:extent cx="3094092" cy="2013823"/>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09248" cy="2023688"/>
                    </a:xfrm>
                    <a:prstGeom prst="rect">
                      <a:avLst/>
                    </a:prstGeom>
                  </pic:spPr>
                </pic:pic>
              </a:graphicData>
            </a:graphic>
          </wp:inline>
        </w:drawing>
      </w:r>
      <w:r w:rsidRPr="00820CF7">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D182BBB" wp14:editId="235291A8">
                <wp:simplePos x="0" y="0"/>
                <wp:positionH relativeFrom="column">
                  <wp:posOffset>-2638120</wp:posOffset>
                </wp:positionH>
                <wp:positionV relativeFrom="paragraph">
                  <wp:posOffset>68514</wp:posOffset>
                </wp:positionV>
                <wp:extent cx="1816925" cy="795647"/>
                <wp:effectExtent l="0" t="0" r="0" b="5080"/>
                <wp:wrapNone/>
                <wp:docPr id="32" name="Zone de texte 32"/>
                <wp:cNvGraphicFramePr/>
                <a:graphic xmlns:a="http://schemas.openxmlformats.org/drawingml/2006/main">
                  <a:graphicData uri="http://schemas.microsoft.com/office/word/2010/wordprocessingShape">
                    <wps:wsp>
                      <wps:cNvSpPr txBox="1"/>
                      <wps:spPr>
                        <a:xfrm>
                          <a:off x="0" y="0"/>
                          <a:ext cx="1816925" cy="795647"/>
                        </a:xfrm>
                        <a:prstGeom prst="rect">
                          <a:avLst/>
                        </a:prstGeom>
                        <a:noFill/>
                        <a:ln w="6350">
                          <a:noFill/>
                        </a:ln>
                        <a:effectLst/>
                      </wps:spPr>
                      <wps:txbx>
                        <w:txbxContent>
                          <w:p w14:paraId="01A4B36E" w14:textId="77777777" w:rsidR="00820CF7" w:rsidRDefault="00820CF7" w:rsidP="00820CF7">
                            <w:r>
                              <w:t>Absorbance = f(</w:t>
                            </w:r>
                            <w:r>
                              <w:rPr>
                                <w:rFonts w:cs="Arial"/>
                              </w:rPr>
                              <w:t>λ</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82BBB" id="_x0000_t202" coordsize="21600,21600" o:spt="202" path="m,l,21600r21600,l21600,xe">
                <v:stroke joinstyle="miter"/>
                <v:path gradientshapeok="t" o:connecttype="rect"/>
              </v:shapetype>
              <v:shape id="Zone de texte 32" o:spid="_x0000_s1026" type="#_x0000_t202" style="position:absolute;margin-left:-207.75pt;margin-top:5.4pt;width:143.05pt;height:62.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u7OwIAAGYEAAAOAAAAZHJzL2Uyb0RvYy54bWysVE1vGjEQvVfqf7B8LwuEj7BiiWgiqkoo&#10;iUSiSL0Zrw0r2R7XNuzSX9+xdyEo7anqxTvjGT975r3Z+V2jFTkK5yswBR30+pQIw6GszK6gry+r&#10;L7eU+MBMyRQYUdCT8PRu8fnTvLa5GMIeVCkcQRDj89oWdB+CzbPM873QzPfACoNBCU6zgK7bZaVj&#10;NaJrlQ37/UlWgyutAy68x92HNkgXCV9KwcOTlF4EogqKbwtpdWndxjVbzFm+c8zuK949g/3DKzSr&#10;DF56gXpggZGDq/6A0hV34EGGHgedgZQVF6kGrGbQ/1DNZs+sSLVgc7y9tMn/P1j+eHx2pCoLejOk&#10;xDCNHP1ApkgpSBBNEAT3sUm19Tnmbixmh+YrNEj2ed/jZqy9kU7HL1ZFMI7tPl1ajFCEx0O3g8ls&#10;OKaEY2w6G09G0wiTvZ+2zodvAjSJRkEdUpg6y45rH9rUc0q8zMCqUirRqAypCzq5GffTgUsEwZWJ&#10;uSIJooOJFbUvj1Zotk1X5hbKE1bpoBWLt3xV4VPWzIdn5lAdWBgqPjzhIhXgldBZlOzB/frbfsxH&#10;0jBKSY1qK6j/eWBOUKK+G6RzNhiNojyTMxpPh+i468j2OmIO+h5Q0AOcLcuTGfODOpvSgX7DwVjG&#10;WzHEDMe7CxrO5n1oZwAHi4vlMiWhIC0La7OxPELHhsVGvzRvzNmOjSiJRzjrkuUfSGlzW1qWhwCy&#10;SozFBrddRaajg2JOnHeDF6fl2k9Z77+HxW8AAAD//wMAUEsDBBQABgAIAAAAIQAWTboR4wAAAAwB&#10;AAAPAAAAZHJzL2Rvd25yZXYueG1sTI/BTsMwEETvSPyDtUjcUiehqUoap6oiVUgIDi29cHNiN4lq&#10;r0PstoGvZzmV4848zc4U68kadtGj7x0KSGYxMI2NUz22Ag4f22gJzAeJShqHWsC39rAu7+8KmSt3&#10;xZ2+7EPLKAR9LgV0IQw5577ptJV+5gaN5B3daGWgc2y5GuWVwq3haRwvuJU90odODrrqdHPan62A&#10;12r7Lnd1apc/pnp5O26Gr8NnJsTjw7RZAQt6CjcY/upTdSipU+3OqDwzAqJ5kmXEkhPTBiKiJH2e&#10;A6tJeVokwMuC/x9R/gIAAP//AwBQSwECLQAUAAYACAAAACEAtoM4kv4AAADhAQAAEwAAAAAAAAAA&#10;AAAAAAAAAAAAW0NvbnRlbnRfVHlwZXNdLnhtbFBLAQItABQABgAIAAAAIQA4/SH/1gAAAJQBAAAL&#10;AAAAAAAAAAAAAAAAAC8BAABfcmVscy8ucmVsc1BLAQItABQABgAIAAAAIQCdMxu7OwIAAGYEAAAO&#10;AAAAAAAAAAAAAAAAAC4CAABkcnMvZTJvRG9jLnhtbFBLAQItABQABgAIAAAAIQAWTboR4wAAAAwB&#10;AAAPAAAAAAAAAAAAAAAAAJUEAABkcnMvZG93bnJldi54bWxQSwUGAAAAAAQABADzAAAApQUAAAAA&#10;" filled="f" stroked="f" strokeweight=".5pt">
                <v:textbox>
                  <w:txbxContent>
                    <w:p w14:paraId="01A4B36E" w14:textId="77777777" w:rsidR="00820CF7" w:rsidRDefault="00820CF7" w:rsidP="00820CF7">
                      <w:r>
                        <w:t>Absorbance = f(</w:t>
                      </w:r>
                      <w:r>
                        <w:rPr>
                          <w:rFonts w:cs="Arial"/>
                        </w:rPr>
                        <w:t>λ</w:t>
                      </w:r>
                      <w:r>
                        <w:t>)</w:t>
                      </w:r>
                    </w:p>
                  </w:txbxContent>
                </v:textbox>
              </v:shape>
            </w:pict>
          </mc:Fallback>
        </mc:AlternateContent>
      </w:r>
      <w:r w:rsidRPr="00820CF7">
        <w:rPr>
          <w:rFonts w:eastAsiaTheme="minorHAnsi" w:cs="Arial"/>
          <w:b/>
          <w:bCs/>
          <w:lang w:eastAsia="en-US"/>
        </w:rPr>
        <w:tab/>
      </w:r>
    </w:p>
    <w:p w14:paraId="3354770C" w14:textId="77777777" w:rsidR="00820CF7" w:rsidRDefault="00820CF7" w:rsidP="00820CF7">
      <w:pPr>
        <w:spacing w:after="0" w:line="240" w:lineRule="auto"/>
        <w:ind w:left="0"/>
        <w:rPr>
          <w:rFonts w:eastAsiaTheme="minorHAnsi" w:cs="Arial"/>
          <w:bCs/>
          <w:lang w:eastAsia="en-US"/>
        </w:rPr>
      </w:pPr>
    </w:p>
    <w:p w14:paraId="10BF91AA" w14:textId="77777777" w:rsidR="00820CF7" w:rsidRPr="00820CF7" w:rsidRDefault="00820CF7" w:rsidP="00820CF7">
      <w:pPr>
        <w:spacing w:after="0" w:line="240" w:lineRule="auto"/>
        <w:ind w:left="0"/>
        <w:rPr>
          <w:rFonts w:eastAsiaTheme="minorHAnsi" w:cs="Arial"/>
          <w:b/>
          <w:bCs/>
          <w:lang w:eastAsia="en-US"/>
        </w:rPr>
      </w:pPr>
      <w:r w:rsidRPr="00820CF7">
        <w:rPr>
          <w:rFonts w:eastAsiaTheme="minorHAnsi" w:cs="Arial"/>
          <w:bCs/>
          <w:lang w:eastAsia="en-US"/>
        </w:rPr>
        <w:t>Spectre d’absorption d’une solution de peroxodisulfate de potassium de concentration 2,5</w:t>
      </w:r>
      <m:oMath>
        <m:r>
          <w:rPr>
            <w:rFonts w:ascii="Cambria Math" w:eastAsiaTheme="minorHAnsi" w:hAnsi="Cambria Math" w:cs="Arial"/>
            <w:lang w:eastAsia="en-US"/>
          </w:rPr>
          <m:t>×</m:t>
        </m:r>
      </m:oMath>
      <w:r w:rsidRPr="00820CF7">
        <w:rPr>
          <w:rFonts w:eastAsiaTheme="minorHAnsi" w:cs="Arial"/>
          <w:bCs/>
          <w:lang w:eastAsia="en-US"/>
        </w:rPr>
        <w:t>10</w:t>
      </w:r>
      <w:r w:rsidRPr="00820CF7">
        <w:rPr>
          <w:rFonts w:eastAsiaTheme="minorHAnsi" w:cs="Arial"/>
          <w:bCs/>
          <w:vertAlign w:val="superscript"/>
          <w:lang w:eastAsia="en-US"/>
        </w:rPr>
        <w:t xml:space="preserve">-4 </w:t>
      </w:r>
      <w:proofErr w:type="gramStart"/>
      <w:r w:rsidRPr="00820CF7">
        <w:rPr>
          <w:rFonts w:eastAsiaTheme="minorHAnsi" w:cs="Arial"/>
          <w:bCs/>
          <w:lang w:eastAsia="en-US"/>
        </w:rPr>
        <w:t>mol.L</w:t>
      </w:r>
      <w:proofErr w:type="gramEnd"/>
      <w:r w:rsidRPr="00820CF7">
        <w:rPr>
          <w:rFonts w:eastAsiaTheme="minorHAnsi" w:cs="Arial"/>
          <w:bCs/>
          <w:vertAlign w:val="superscript"/>
          <w:lang w:eastAsia="en-US"/>
        </w:rPr>
        <w:t>-1</w:t>
      </w:r>
    </w:p>
    <w:p w14:paraId="3DE3F0CB" w14:textId="77777777" w:rsidR="00820CF7" w:rsidRPr="00820CF7" w:rsidRDefault="00820CF7" w:rsidP="00820CF7">
      <w:pPr>
        <w:spacing w:after="0" w:line="240" w:lineRule="auto"/>
        <w:ind w:left="0"/>
        <w:jc w:val="center"/>
        <w:rPr>
          <w:rFonts w:ascii="Calibri" w:eastAsia="Times New Roman" w:hAnsi="Calibri"/>
          <w:color w:val="000000"/>
          <w:sz w:val="22"/>
          <w:szCs w:val="22"/>
        </w:rPr>
      </w:pPr>
      <w:r w:rsidRPr="00820CF7">
        <w:rPr>
          <w:rFonts w:asciiTheme="minorHAnsi" w:eastAsiaTheme="minorHAnsi" w:hAnsiTheme="minorHAnsi" w:cstheme="minorBidi"/>
          <w:noProof/>
          <w:sz w:val="22"/>
          <w:szCs w:val="22"/>
        </w:rPr>
        <w:drawing>
          <wp:inline distT="0" distB="0" distL="0" distR="0" wp14:anchorId="6C997EE0" wp14:editId="57A53D20">
            <wp:extent cx="3648974" cy="1880559"/>
            <wp:effectExtent l="0" t="0" r="27940" b="2476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A1CFC0" w14:textId="530886F8" w:rsidR="00D62F47" w:rsidRDefault="00D62F47">
      <w:pPr>
        <w:spacing w:after="0" w:line="240" w:lineRule="auto"/>
        <w:ind w:left="0"/>
        <w:rPr>
          <w:rFonts w:eastAsia="Times New Roman" w:cs="Arial"/>
          <w:b/>
          <w:bCs/>
        </w:rPr>
      </w:pPr>
      <w:r>
        <w:rPr>
          <w:rFonts w:eastAsia="Times New Roman" w:cs="Arial"/>
          <w:b/>
          <w:bCs/>
        </w:rPr>
        <w:br w:type="page"/>
      </w:r>
    </w:p>
    <w:p w14:paraId="092EBDA0" w14:textId="77777777" w:rsidR="00820CF7" w:rsidRPr="00820CF7" w:rsidRDefault="00820CF7" w:rsidP="00820CF7">
      <w:pPr>
        <w:spacing w:after="0" w:line="240" w:lineRule="auto"/>
        <w:ind w:left="720"/>
        <w:contextualSpacing/>
        <w:rPr>
          <w:rFonts w:eastAsia="Times New Roman" w:cs="Arial"/>
          <w:b/>
          <w:bCs/>
        </w:rPr>
      </w:pPr>
    </w:p>
    <w:p w14:paraId="45ABDD01" w14:textId="77777777" w:rsidR="00820CF7" w:rsidRPr="00820CF7" w:rsidRDefault="00820CF7" w:rsidP="00820CF7">
      <w:pPr>
        <w:numPr>
          <w:ilvl w:val="0"/>
          <w:numId w:val="5"/>
        </w:numPr>
        <w:spacing w:after="0" w:line="240" w:lineRule="auto"/>
        <w:contextualSpacing/>
        <w:rPr>
          <w:rFonts w:eastAsia="Times New Roman" w:cs="Arial"/>
          <w:b/>
          <w:bCs/>
        </w:rPr>
      </w:pPr>
      <w:r w:rsidRPr="00820CF7">
        <w:rPr>
          <w:rFonts w:eastAsia="Times New Roman" w:cs="Arial"/>
          <w:b/>
          <w:bCs/>
          <w:noProof/>
        </w:rPr>
        <w:drawing>
          <wp:anchor distT="0" distB="0" distL="114300" distR="114300" simplePos="0" relativeHeight="251665408" behindDoc="1" locked="0" layoutInCell="1" allowOverlap="1" wp14:anchorId="6C6BC274" wp14:editId="7D0FC99C">
            <wp:simplePos x="0" y="0"/>
            <wp:positionH relativeFrom="column">
              <wp:posOffset>2420620</wp:posOffset>
            </wp:positionH>
            <wp:positionV relativeFrom="paragraph">
              <wp:posOffset>-271780</wp:posOffset>
            </wp:positionV>
            <wp:extent cx="2026920" cy="1720850"/>
            <wp:effectExtent l="0" t="0" r="0" b="0"/>
            <wp:wrapTight wrapText="bothSides">
              <wp:wrapPolygon edited="0">
                <wp:start x="0" y="0"/>
                <wp:lineTo x="0" y="21281"/>
                <wp:lineTo x="21316" y="21281"/>
                <wp:lineTo x="2131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le chromatique.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26920" cy="1720850"/>
                    </a:xfrm>
                    <a:prstGeom prst="rect">
                      <a:avLst/>
                    </a:prstGeom>
                  </pic:spPr>
                </pic:pic>
              </a:graphicData>
            </a:graphic>
            <wp14:sizeRelH relativeFrom="page">
              <wp14:pctWidth>0</wp14:pctWidth>
            </wp14:sizeRelH>
            <wp14:sizeRelV relativeFrom="page">
              <wp14:pctHeight>0</wp14:pctHeight>
            </wp14:sizeRelV>
          </wp:anchor>
        </w:drawing>
      </w:r>
      <w:r w:rsidRPr="00820CF7">
        <w:rPr>
          <w:rFonts w:eastAsia="Times New Roman" w:cs="Arial"/>
          <w:bCs/>
        </w:rPr>
        <w:t>Cercle chromatique</w:t>
      </w:r>
    </w:p>
    <w:p w14:paraId="6D4A4A8C" w14:textId="77777777" w:rsidR="00820CF7" w:rsidRPr="00820CF7" w:rsidRDefault="00820CF7" w:rsidP="00820CF7">
      <w:pPr>
        <w:spacing w:after="0" w:line="240" w:lineRule="auto"/>
        <w:ind w:left="280"/>
        <w:rPr>
          <w:rFonts w:eastAsiaTheme="minorHAnsi" w:cs="Arial"/>
          <w:b/>
          <w:bCs/>
          <w:lang w:eastAsia="en-US"/>
        </w:rPr>
      </w:pPr>
    </w:p>
    <w:p w14:paraId="561ADF3C" w14:textId="77777777" w:rsidR="00820CF7" w:rsidRPr="00820CF7" w:rsidRDefault="00820CF7" w:rsidP="00820CF7">
      <w:pPr>
        <w:spacing w:after="0" w:line="240" w:lineRule="auto"/>
        <w:ind w:left="280"/>
        <w:jc w:val="center"/>
        <w:rPr>
          <w:rFonts w:eastAsiaTheme="minorHAnsi" w:cs="Arial"/>
          <w:b/>
          <w:bCs/>
          <w:lang w:eastAsia="en-US"/>
        </w:rPr>
      </w:pPr>
    </w:p>
    <w:p w14:paraId="5FF2DCBB" w14:textId="77777777" w:rsidR="00820CF7" w:rsidRPr="00820CF7" w:rsidRDefault="00820CF7" w:rsidP="00820CF7">
      <w:pPr>
        <w:spacing w:after="0" w:line="240" w:lineRule="auto"/>
        <w:ind w:left="280"/>
        <w:rPr>
          <w:rFonts w:eastAsiaTheme="minorHAnsi" w:cs="Arial"/>
          <w:b/>
          <w:bCs/>
          <w:lang w:eastAsia="en-US"/>
        </w:rPr>
      </w:pPr>
    </w:p>
    <w:p w14:paraId="030AED45" w14:textId="77777777" w:rsidR="00820CF7" w:rsidRPr="00820CF7" w:rsidRDefault="00820CF7" w:rsidP="00820CF7">
      <w:pPr>
        <w:spacing w:after="0" w:line="240" w:lineRule="auto"/>
        <w:ind w:left="280"/>
        <w:rPr>
          <w:rFonts w:eastAsiaTheme="minorHAnsi" w:cs="Arial"/>
          <w:b/>
          <w:bCs/>
          <w:lang w:eastAsia="en-US"/>
        </w:rPr>
      </w:pPr>
    </w:p>
    <w:p w14:paraId="553D22CB" w14:textId="77777777" w:rsidR="00820CF7" w:rsidRPr="00820CF7" w:rsidRDefault="00820CF7" w:rsidP="00820CF7">
      <w:pPr>
        <w:spacing w:after="0" w:line="240" w:lineRule="auto"/>
        <w:ind w:left="280"/>
        <w:rPr>
          <w:rFonts w:eastAsiaTheme="minorHAnsi" w:cs="Arial"/>
          <w:b/>
          <w:bCs/>
          <w:lang w:eastAsia="en-US"/>
        </w:rPr>
      </w:pPr>
    </w:p>
    <w:p w14:paraId="256C9E77" w14:textId="77777777" w:rsidR="00820CF7" w:rsidRPr="00820CF7" w:rsidRDefault="00820CF7" w:rsidP="00820CF7">
      <w:pPr>
        <w:spacing w:after="0" w:line="240" w:lineRule="auto"/>
        <w:ind w:left="280"/>
        <w:rPr>
          <w:rFonts w:eastAsiaTheme="minorHAnsi" w:cs="Arial"/>
          <w:b/>
          <w:bCs/>
          <w:lang w:eastAsia="en-US"/>
        </w:rPr>
      </w:pPr>
    </w:p>
    <w:p w14:paraId="5308081B" w14:textId="77777777" w:rsidR="00820CF7" w:rsidRPr="00820CF7" w:rsidRDefault="00820CF7" w:rsidP="00820CF7">
      <w:pPr>
        <w:spacing w:after="0" w:line="240" w:lineRule="auto"/>
        <w:ind w:left="280"/>
        <w:rPr>
          <w:rFonts w:eastAsiaTheme="minorHAnsi" w:cs="Arial"/>
          <w:b/>
          <w:bCs/>
          <w:lang w:eastAsia="en-US"/>
        </w:rPr>
      </w:pPr>
    </w:p>
    <w:p w14:paraId="762BDB95" w14:textId="77777777" w:rsidR="00820CF7" w:rsidRPr="00820CF7" w:rsidRDefault="00820CF7" w:rsidP="00820CF7">
      <w:pPr>
        <w:spacing w:after="0" w:line="240" w:lineRule="auto"/>
        <w:ind w:left="280"/>
        <w:rPr>
          <w:rFonts w:eastAsiaTheme="minorHAnsi" w:cs="Arial"/>
          <w:b/>
          <w:bCs/>
          <w:lang w:eastAsia="en-US"/>
        </w:rPr>
      </w:pPr>
    </w:p>
    <w:p w14:paraId="0B93D2ED" w14:textId="77777777" w:rsidR="00820CF7" w:rsidRPr="00820CF7" w:rsidRDefault="00820CF7" w:rsidP="00D62F47">
      <w:pPr>
        <w:numPr>
          <w:ilvl w:val="0"/>
          <w:numId w:val="5"/>
        </w:numPr>
        <w:spacing w:after="0" w:line="240" w:lineRule="auto"/>
        <w:contextualSpacing/>
        <w:jc w:val="both"/>
        <w:rPr>
          <w:rFonts w:eastAsia="Times New Roman" w:cs="Arial"/>
          <w:bCs/>
        </w:rPr>
      </w:pPr>
      <w:r w:rsidRPr="00820CF7">
        <w:rPr>
          <w:rFonts w:eastAsia="Times New Roman" w:cs="Arial"/>
          <w:bCs/>
        </w:rPr>
        <w:t>Tests caractéristiques des ions Fe</w:t>
      </w:r>
      <w:r w:rsidRPr="00820CF7">
        <w:rPr>
          <w:rFonts w:eastAsia="Times New Roman" w:cs="Arial"/>
          <w:bCs/>
          <w:vertAlign w:val="superscript"/>
        </w:rPr>
        <w:t>2+</w:t>
      </w:r>
      <w:r w:rsidRPr="00820CF7">
        <w:rPr>
          <w:rFonts w:eastAsia="Times New Roman" w:cs="Arial"/>
          <w:bCs/>
        </w:rPr>
        <w:t xml:space="preserve"> et Fe</w:t>
      </w:r>
      <w:r w:rsidRPr="00820CF7">
        <w:rPr>
          <w:rFonts w:eastAsia="Times New Roman" w:cs="Arial"/>
          <w:bCs/>
          <w:vertAlign w:val="superscript"/>
        </w:rPr>
        <w:t>3+</w:t>
      </w:r>
      <w:r w:rsidRPr="00820CF7">
        <w:rPr>
          <w:rFonts w:eastAsia="Times New Roman" w:cs="Arial"/>
          <w:bCs/>
        </w:rPr>
        <w:t xml:space="preserve"> avec une solution aqueuse d’hydroxyde de sodium</w:t>
      </w:r>
    </w:p>
    <w:tbl>
      <w:tblPr>
        <w:tblStyle w:val="Grilledutableau2"/>
        <w:tblW w:w="0" w:type="auto"/>
        <w:tblInd w:w="280" w:type="dxa"/>
        <w:tblLook w:val="04A0" w:firstRow="1" w:lastRow="0" w:firstColumn="1" w:lastColumn="0" w:noHBand="0" w:noVBand="1"/>
      </w:tblPr>
      <w:tblGrid>
        <w:gridCol w:w="821"/>
        <w:gridCol w:w="3118"/>
        <w:gridCol w:w="5069"/>
      </w:tblGrid>
      <w:tr w:rsidR="00820CF7" w:rsidRPr="00820CF7" w14:paraId="760FDC48" w14:textId="77777777" w:rsidTr="00AF5DC6">
        <w:tc>
          <w:tcPr>
            <w:tcW w:w="821" w:type="dxa"/>
            <w:shd w:val="clear" w:color="auto" w:fill="auto"/>
            <w:vAlign w:val="center"/>
          </w:tcPr>
          <w:p w14:paraId="410F81E0" w14:textId="77777777" w:rsidR="00820CF7" w:rsidRPr="00820CF7" w:rsidRDefault="00820CF7" w:rsidP="00820CF7">
            <w:pPr>
              <w:spacing w:after="0" w:line="240" w:lineRule="auto"/>
              <w:ind w:left="0"/>
              <w:rPr>
                <w:rFonts w:ascii="Arial" w:hAnsi="Arial" w:cs="Arial"/>
                <w:bCs/>
              </w:rPr>
            </w:pPr>
            <w:r w:rsidRPr="00820CF7">
              <w:rPr>
                <w:rFonts w:ascii="Arial" w:hAnsi="Arial" w:cs="Arial"/>
                <w:bCs/>
              </w:rPr>
              <w:t>ions</w:t>
            </w:r>
          </w:p>
        </w:tc>
        <w:tc>
          <w:tcPr>
            <w:tcW w:w="3118" w:type="dxa"/>
            <w:shd w:val="clear" w:color="auto" w:fill="auto"/>
            <w:vAlign w:val="center"/>
          </w:tcPr>
          <w:p w14:paraId="0AF6358F" w14:textId="77777777" w:rsidR="00820CF7" w:rsidRPr="00820CF7" w:rsidRDefault="00820CF7" w:rsidP="00820CF7">
            <w:pPr>
              <w:spacing w:after="0" w:line="240" w:lineRule="auto"/>
              <w:ind w:left="0"/>
              <w:rPr>
                <w:rFonts w:ascii="Arial" w:hAnsi="Arial" w:cs="Arial"/>
                <w:bCs/>
              </w:rPr>
            </w:pPr>
            <w:r w:rsidRPr="00820CF7">
              <w:rPr>
                <w:rFonts w:ascii="Arial" w:hAnsi="Arial" w:cs="Arial"/>
                <w:bCs/>
              </w:rPr>
              <w:t>couleur</w:t>
            </w:r>
          </w:p>
        </w:tc>
        <w:tc>
          <w:tcPr>
            <w:tcW w:w="5069" w:type="dxa"/>
            <w:shd w:val="clear" w:color="auto" w:fill="auto"/>
            <w:vAlign w:val="center"/>
          </w:tcPr>
          <w:p w14:paraId="227177DB" w14:textId="77777777" w:rsidR="00820CF7" w:rsidRPr="00820CF7" w:rsidRDefault="00820CF7" w:rsidP="00D62F47">
            <w:pPr>
              <w:spacing w:after="0" w:line="240" w:lineRule="auto"/>
              <w:ind w:left="0"/>
              <w:jc w:val="both"/>
              <w:rPr>
                <w:rFonts w:ascii="Arial" w:hAnsi="Arial" w:cs="Arial"/>
                <w:bCs/>
              </w:rPr>
            </w:pPr>
            <w:r w:rsidRPr="00820CF7">
              <w:rPr>
                <w:rFonts w:ascii="Arial" w:hAnsi="Arial" w:cs="Arial"/>
                <w:bCs/>
              </w:rPr>
              <w:t>Ajout de quelques gouttes de solution d’hydroxyde de sodium</w:t>
            </w:r>
          </w:p>
        </w:tc>
      </w:tr>
      <w:tr w:rsidR="00820CF7" w:rsidRPr="00820CF7" w14:paraId="6837490C" w14:textId="77777777" w:rsidTr="00AF5DC6">
        <w:tc>
          <w:tcPr>
            <w:tcW w:w="821" w:type="dxa"/>
            <w:shd w:val="clear" w:color="auto" w:fill="auto"/>
          </w:tcPr>
          <w:p w14:paraId="59829A2F" w14:textId="77777777" w:rsidR="00820CF7" w:rsidRPr="00820CF7" w:rsidRDefault="00820CF7" w:rsidP="00820CF7">
            <w:pPr>
              <w:spacing w:after="0" w:line="240" w:lineRule="auto"/>
              <w:ind w:left="0"/>
              <w:rPr>
                <w:rFonts w:ascii="Arial" w:hAnsi="Arial" w:cs="Arial"/>
                <w:bCs/>
              </w:rPr>
            </w:pPr>
            <w:r w:rsidRPr="00820CF7">
              <w:rPr>
                <w:rFonts w:ascii="Arial" w:hAnsi="Arial" w:cs="Arial"/>
                <w:bCs/>
              </w:rPr>
              <w:t>Fe</w:t>
            </w:r>
            <w:r w:rsidRPr="00820CF7">
              <w:rPr>
                <w:rFonts w:ascii="Arial" w:hAnsi="Arial" w:cs="Arial"/>
                <w:bCs/>
                <w:vertAlign w:val="superscript"/>
              </w:rPr>
              <w:t>2+</w:t>
            </w:r>
          </w:p>
        </w:tc>
        <w:tc>
          <w:tcPr>
            <w:tcW w:w="3118" w:type="dxa"/>
            <w:shd w:val="clear" w:color="auto" w:fill="auto"/>
          </w:tcPr>
          <w:p w14:paraId="0261E9CD" w14:textId="77777777" w:rsidR="00820CF7" w:rsidRPr="00820CF7" w:rsidRDefault="00820CF7" w:rsidP="00820CF7">
            <w:pPr>
              <w:spacing w:after="0" w:line="240" w:lineRule="auto"/>
              <w:ind w:left="0"/>
              <w:rPr>
                <w:rFonts w:ascii="Arial" w:hAnsi="Arial" w:cs="Arial"/>
                <w:bCs/>
              </w:rPr>
            </w:pPr>
            <w:r w:rsidRPr="00820CF7">
              <w:rPr>
                <w:rFonts w:ascii="Arial" w:hAnsi="Arial" w:cs="Arial"/>
                <w:bCs/>
              </w:rPr>
              <w:t>Vert à peine perceptible</w:t>
            </w:r>
          </w:p>
        </w:tc>
        <w:tc>
          <w:tcPr>
            <w:tcW w:w="5069" w:type="dxa"/>
            <w:shd w:val="clear" w:color="auto" w:fill="auto"/>
          </w:tcPr>
          <w:p w14:paraId="01530018" w14:textId="77777777" w:rsidR="00820CF7" w:rsidRPr="00820CF7" w:rsidRDefault="00820CF7" w:rsidP="00D62F47">
            <w:pPr>
              <w:spacing w:after="0" w:line="240" w:lineRule="auto"/>
              <w:ind w:left="0"/>
              <w:jc w:val="both"/>
              <w:rPr>
                <w:rFonts w:ascii="Arial" w:hAnsi="Arial" w:cs="Arial"/>
                <w:bCs/>
              </w:rPr>
            </w:pPr>
            <w:r w:rsidRPr="00820CF7">
              <w:rPr>
                <w:rFonts w:ascii="Arial" w:hAnsi="Arial" w:cs="Arial"/>
                <w:bCs/>
              </w:rPr>
              <w:t>Précipité vert d’hydroxyde de fer II</w:t>
            </w:r>
          </w:p>
        </w:tc>
      </w:tr>
      <w:tr w:rsidR="00820CF7" w:rsidRPr="00820CF7" w14:paraId="3D8B3822" w14:textId="77777777" w:rsidTr="00AF5DC6">
        <w:tc>
          <w:tcPr>
            <w:tcW w:w="821" w:type="dxa"/>
            <w:shd w:val="clear" w:color="auto" w:fill="auto"/>
          </w:tcPr>
          <w:p w14:paraId="2BFA4844" w14:textId="77777777" w:rsidR="00820CF7" w:rsidRPr="00820CF7" w:rsidRDefault="00820CF7" w:rsidP="00820CF7">
            <w:pPr>
              <w:spacing w:after="0" w:line="240" w:lineRule="auto"/>
              <w:ind w:left="0"/>
              <w:rPr>
                <w:rFonts w:ascii="Arial" w:hAnsi="Arial" w:cs="Arial"/>
                <w:bCs/>
              </w:rPr>
            </w:pPr>
            <w:r w:rsidRPr="00820CF7">
              <w:rPr>
                <w:rFonts w:ascii="Arial" w:hAnsi="Arial" w:cs="Arial"/>
                <w:bCs/>
              </w:rPr>
              <w:t>Fe</w:t>
            </w:r>
            <w:r w:rsidRPr="00820CF7">
              <w:rPr>
                <w:rFonts w:ascii="Arial" w:hAnsi="Arial" w:cs="Arial"/>
                <w:bCs/>
                <w:vertAlign w:val="superscript"/>
              </w:rPr>
              <w:t>3+</w:t>
            </w:r>
          </w:p>
        </w:tc>
        <w:tc>
          <w:tcPr>
            <w:tcW w:w="3118" w:type="dxa"/>
            <w:shd w:val="clear" w:color="auto" w:fill="auto"/>
          </w:tcPr>
          <w:p w14:paraId="3BB3298D" w14:textId="77777777" w:rsidR="00820CF7" w:rsidRPr="00820CF7" w:rsidRDefault="00820CF7" w:rsidP="00820CF7">
            <w:pPr>
              <w:spacing w:after="0" w:line="240" w:lineRule="auto"/>
              <w:ind w:left="0"/>
              <w:rPr>
                <w:rFonts w:ascii="Arial" w:hAnsi="Arial" w:cs="Arial"/>
                <w:bCs/>
              </w:rPr>
            </w:pPr>
            <w:r w:rsidRPr="00820CF7">
              <w:rPr>
                <w:rFonts w:ascii="Arial" w:hAnsi="Arial" w:cs="Arial"/>
                <w:bCs/>
              </w:rPr>
              <w:t>Rouille à peine perceptible</w:t>
            </w:r>
          </w:p>
        </w:tc>
        <w:tc>
          <w:tcPr>
            <w:tcW w:w="5069" w:type="dxa"/>
            <w:shd w:val="clear" w:color="auto" w:fill="auto"/>
          </w:tcPr>
          <w:p w14:paraId="634DDFAF" w14:textId="77777777" w:rsidR="00820CF7" w:rsidRPr="00820CF7" w:rsidRDefault="00820CF7" w:rsidP="00D62F47">
            <w:pPr>
              <w:spacing w:after="0" w:line="240" w:lineRule="auto"/>
              <w:ind w:left="0"/>
              <w:jc w:val="both"/>
              <w:rPr>
                <w:rFonts w:ascii="Arial" w:hAnsi="Arial" w:cs="Arial"/>
                <w:bCs/>
              </w:rPr>
            </w:pPr>
            <w:r w:rsidRPr="00820CF7">
              <w:rPr>
                <w:rFonts w:ascii="Arial" w:hAnsi="Arial" w:cs="Arial"/>
                <w:bCs/>
              </w:rPr>
              <w:t>Précipité rouille d’hydroxyde de fer III</w:t>
            </w:r>
          </w:p>
        </w:tc>
      </w:tr>
    </w:tbl>
    <w:p w14:paraId="20F537FC" w14:textId="77777777" w:rsidR="00820CF7" w:rsidRPr="00820CF7" w:rsidRDefault="00820CF7" w:rsidP="00820CF7">
      <w:pPr>
        <w:spacing w:after="0" w:line="240" w:lineRule="auto"/>
        <w:ind w:left="280"/>
        <w:rPr>
          <w:rFonts w:eastAsiaTheme="minorHAnsi" w:cs="Arial"/>
          <w:bCs/>
          <w:lang w:eastAsia="en-US"/>
        </w:rPr>
      </w:pPr>
    </w:p>
    <w:p w14:paraId="7A718AE5" w14:textId="77777777" w:rsidR="00820CF7" w:rsidRPr="00820CF7" w:rsidRDefault="00820CF7" w:rsidP="00820CF7">
      <w:pPr>
        <w:numPr>
          <w:ilvl w:val="0"/>
          <w:numId w:val="3"/>
        </w:numPr>
        <w:spacing w:after="0" w:line="240" w:lineRule="auto"/>
        <w:ind w:left="280" w:hanging="280"/>
        <w:rPr>
          <w:rFonts w:eastAsiaTheme="minorHAnsi" w:cs="Arial"/>
          <w:b/>
          <w:bCs/>
          <w:lang w:eastAsia="en-US"/>
        </w:rPr>
      </w:pPr>
      <w:r w:rsidRPr="00820CF7">
        <w:rPr>
          <w:rFonts w:eastAsiaTheme="minorHAnsi" w:cs="Arial"/>
          <w:b/>
          <w:bCs/>
          <w:lang w:eastAsia="en-US"/>
        </w:rPr>
        <w:t>Choix du réactif titrant.</w:t>
      </w:r>
    </w:p>
    <w:p w14:paraId="70EA76EA" w14:textId="77777777" w:rsidR="00820CF7" w:rsidRPr="00820CF7" w:rsidRDefault="00820CF7" w:rsidP="00820CF7">
      <w:pPr>
        <w:spacing w:after="0" w:line="240" w:lineRule="auto"/>
        <w:ind w:left="280"/>
        <w:rPr>
          <w:rFonts w:eastAsiaTheme="minorHAnsi" w:cs="Arial"/>
          <w:b/>
          <w:bCs/>
          <w:lang w:eastAsia="en-US"/>
        </w:rPr>
      </w:pPr>
    </w:p>
    <w:p w14:paraId="6DE0D548" w14:textId="77777777" w:rsidR="00820CF7" w:rsidRPr="00820CF7" w:rsidRDefault="00820CF7" w:rsidP="00D62F47">
      <w:pPr>
        <w:spacing w:after="0" w:line="240" w:lineRule="auto"/>
        <w:ind w:left="-6"/>
        <w:jc w:val="both"/>
        <w:rPr>
          <w:rFonts w:eastAsiaTheme="minorHAnsi" w:cs="Arial"/>
          <w:lang w:eastAsia="en-US"/>
        </w:rPr>
      </w:pPr>
      <w:r w:rsidRPr="00820CF7">
        <w:rPr>
          <w:rFonts w:eastAsiaTheme="minorHAnsi" w:cs="Arial"/>
          <w:lang w:eastAsia="en-US"/>
        </w:rPr>
        <w:t>Pour réaliser le titrage des ions ferreux, Fe</w:t>
      </w:r>
      <w:r w:rsidRPr="00820CF7">
        <w:rPr>
          <w:rFonts w:eastAsiaTheme="minorHAnsi" w:cs="Arial"/>
          <w:vertAlign w:val="superscript"/>
          <w:lang w:eastAsia="en-US"/>
        </w:rPr>
        <w:t>2+</w:t>
      </w:r>
      <w:r w:rsidRPr="00820CF7">
        <w:rPr>
          <w:rFonts w:eastAsiaTheme="minorHAnsi" w:cs="Arial"/>
          <w:lang w:eastAsia="en-US"/>
        </w:rPr>
        <w:t>, contenus dans un produit phytosanitaire destiné à lutter contre la chlorose ferrique, on dispose de deux solutions titrantes possibles :</w:t>
      </w:r>
    </w:p>
    <w:p w14:paraId="6563291C" w14:textId="77777777" w:rsidR="00820CF7" w:rsidRPr="00820CF7" w:rsidRDefault="00820CF7" w:rsidP="00D62F47">
      <w:pPr>
        <w:numPr>
          <w:ilvl w:val="0"/>
          <w:numId w:val="6"/>
        </w:numPr>
        <w:spacing w:after="0" w:line="240" w:lineRule="auto"/>
        <w:contextualSpacing/>
        <w:jc w:val="both"/>
        <w:rPr>
          <w:rFonts w:eastAsia="Times New Roman" w:cs="Arial"/>
        </w:rPr>
      </w:pPr>
      <w:r w:rsidRPr="00820CF7">
        <w:rPr>
          <w:rFonts w:eastAsia="Times New Roman" w:cs="Arial"/>
        </w:rPr>
        <w:t>Une solution de peroxodisulfate de potassium acidifiée (K</w:t>
      </w:r>
      <w:r w:rsidRPr="00820CF7">
        <w:rPr>
          <w:rFonts w:eastAsia="Times New Roman" w:cs="Arial"/>
          <w:vertAlign w:val="superscript"/>
        </w:rPr>
        <w:t>+</w:t>
      </w:r>
      <w:r w:rsidRPr="00820CF7">
        <w:rPr>
          <w:rFonts w:eastAsia="Times New Roman" w:cs="Arial"/>
          <w:vertAlign w:val="subscript"/>
        </w:rPr>
        <w:t>(</w:t>
      </w:r>
      <w:proofErr w:type="spellStart"/>
      <w:proofErr w:type="gramStart"/>
      <w:r w:rsidRPr="00820CF7">
        <w:rPr>
          <w:rFonts w:eastAsia="Times New Roman" w:cs="Arial"/>
          <w:vertAlign w:val="subscript"/>
        </w:rPr>
        <w:t>aq</w:t>
      </w:r>
      <w:proofErr w:type="spellEnd"/>
      <w:r w:rsidRPr="00820CF7">
        <w:rPr>
          <w:rFonts w:eastAsia="Times New Roman" w:cs="Arial"/>
          <w:vertAlign w:val="subscript"/>
        </w:rPr>
        <w:t>)</w:t>
      </w:r>
      <w:r w:rsidRPr="00820CF7">
        <w:rPr>
          <w:rFonts w:eastAsia="Times New Roman" w:cs="Arial"/>
        </w:rPr>
        <w:t>+</w:t>
      </w:r>
      <w:proofErr w:type="gramEnd"/>
      <w:r w:rsidRPr="00820CF7">
        <w:rPr>
          <w:rFonts w:eastAsia="Times New Roman" w:cs="Arial"/>
        </w:rPr>
        <w:t>S</w:t>
      </w:r>
      <w:r w:rsidRPr="00820CF7">
        <w:rPr>
          <w:rFonts w:eastAsia="Times New Roman" w:cs="Arial"/>
          <w:vertAlign w:val="subscript"/>
        </w:rPr>
        <w:t>2</w:t>
      </w:r>
      <w:r w:rsidRPr="00820CF7">
        <w:rPr>
          <w:rFonts w:eastAsia="Times New Roman" w:cs="Arial"/>
        </w:rPr>
        <w:t>O</w:t>
      </w:r>
      <w:r w:rsidRPr="00820CF7">
        <w:rPr>
          <w:rFonts w:eastAsia="Times New Roman" w:cs="Arial"/>
          <w:vertAlign w:val="subscript"/>
        </w:rPr>
        <w:t>8</w:t>
      </w:r>
      <w:r w:rsidRPr="00820CF7">
        <w:rPr>
          <w:rFonts w:eastAsia="Times New Roman" w:cs="Arial"/>
          <w:vertAlign w:val="superscript"/>
        </w:rPr>
        <w:t>2-</w:t>
      </w:r>
      <w:r w:rsidRPr="00820CF7">
        <w:rPr>
          <w:rFonts w:eastAsia="Times New Roman" w:cs="Arial"/>
          <w:vertAlign w:val="subscript"/>
        </w:rPr>
        <w:t>(</w:t>
      </w:r>
      <w:proofErr w:type="spellStart"/>
      <w:r w:rsidRPr="00820CF7">
        <w:rPr>
          <w:rFonts w:eastAsia="Times New Roman" w:cs="Arial"/>
          <w:vertAlign w:val="subscript"/>
        </w:rPr>
        <w:t>aq</w:t>
      </w:r>
      <w:proofErr w:type="spellEnd"/>
      <w:r w:rsidRPr="00820CF7">
        <w:rPr>
          <w:rFonts w:eastAsia="Times New Roman" w:cs="Arial"/>
          <w:vertAlign w:val="subscript"/>
        </w:rPr>
        <w:t>)</w:t>
      </w:r>
      <w:r w:rsidRPr="00820CF7">
        <w:rPr>
          <w:rFonts w:eastAsia="Times New Roman" w:cs="Arial"/>
        </w:rPr>
        <w:t>) de concentration 0,10 mol.L</w:t>
      </w:r>
      <w:r w:rsidRPr="00820CF7">
        <w:rPr>
          <w:rFonts w:eastAsia="Times New Roman" w:cs="Arial"/>
          <w:vertAlign w:val="superscript"/>
        </w:rPr>
        <w:t>-1</w:t>
      </w:r>
    </w:p>
    <w:p w14:paraId="282CFE0D" w14:textId="77777777" w:rsidR="00820CF7" w:rsidRPr="00820CF7" w:rsidRDefault="00820CF7" w:rsidP="00D62F47">
      <w:pPr>
        <w:numPr>
          <w:ilvl w:val="0"/>
          <w:numId w:val="6"/>
        </w:numPr>
        <w:spacing w:after="0" w:line="240" w:lineRule="auto"/>
        <w:contextualSpacing/>
        <w:jc w:val="both"/>
        <w:rPr>
          <w:rFonts w:eastAsia="Times New Roman" w:cs="Arial"/>
        </w:rPr>
      </w:pPr>
      <w:r w:rsidRPr="00820CF7">
        <w:rPr>
          <w:rFonts w:eastAsia="Times New Roman" w:cs="Arial"/>
        </w:rPr>
        <w:t>Une solution de permanganate de potassium acidifiée (K</w:t>
      </w:r>
      <w:r w:rsidRPr="00820CF7">
        <w:rPr>
          <w:rFonts w:eastAsia="Times New Roman" w:cs="Arial"/>
          <w:vertAlign w:val="superscript"/>
        </w:rPr>
        <w:t>+</w:t>
      </w:r>
      <w:r w:rsidRPr="00820CF7">
        <w:rPr>
          <w:rFonts w:eastAsia="Times New Roman" w:cs="Arial"/>
          <w:vertAlign w:val="subscript"/>
        </w:rPr>
        <w:t>(</w:t>
      </w:r>
      <w:proofErr w:type="spellStart"/>
      <w:proofErr w:type="gramStart"/>
      <w:r w:rsidRPr="00820CF7">
        <w:rPr>
          <w:rFonts w:eastAsia="Times New Roman" w:cs="Arial"/>
          <w:vertAlign w:val="subscript"/>
        </w:rPr>
        <w:t>aq</w:t>
      </w:r>
      <w:proofErr w:type="spellEnd"/>
      <w:r w:rsidRPr="00820CF7">
        <w:rPr>
          <w:rFonts w:eastAsia="Times New Roman" w:cs="Arial"/>
          <w:vertAlign w:val="subscript"/>
        </w:rPr>
        <w:t>)</w:t>
      </w:r>
      <w:r w:rsidRPr="00820CF7">
        <w:rPr>
          <w:rFonts w:eastAsia="Times New Roman" w:cs="Arial"/>
        </w:rPr>
        <w:t>+</w:t>
      </w:r>
      <w:proofErr w:type="gramEnd"/>
      <w:r w:rsidRPr="00820CF7">
        <w:rPr>
          <w:rFonts w:eastAsia="Times New Roman" w:cs="Arial"/>
        </w:rPr>
        <w:t>MnO</w:t>
      </w:r>
      <w:r w:rsidRPr="00820CF7">
        <w:rPr>
          <w:rFonts w:eastAsia="Times New Roman" w:cs="Arial"/>
          <w:vertAlign w:val="subscript"/>
        </w:rPr>
        <w:t>4</w:t>
      </w:r>
      <w:r w:rsidRPr="00820CF7">
        <w:rPr>
          <w:rFonts w:eastAsia="Times New Roman" w:cs="Arial"/>
          <w:vertAlign w:val="superscript"/>
        </w:rPr>
        <w:t>-</w:t>
      </w:r>
      <w:r w:rsidRPr="00820CF7">
        <w:rPr>
          <w:rFonts w:eastAsia="Times New Roman" w:cs="Arial"/>
          <w:vertAlign w:val="subscript"/>
        </w:rPr>
        <w:t>(</w:t>
      </w:r>
      <w:proofErr w:type="spellStart"/>
      <w:r w:rsidRPr="00820CF7">
        <w:rPr>
          <w:rFonts w:eastAsia="Times New Roman" w:cs="Arial"/>
          <w:vertAlign w:val="subscript"/>
        </w:rPr>
        <w:t>aq</w:t>
      </w:r>
      <w:proofErr w:type="spellEnd"/>
      <w:r w:rsidRPr="00820CF7">
        <w:rPr>
          <w:rFonts w:eastAsia="Times New Roman" w:cs="Arial"/>
          <w:vertAlign w:val="subscript"/>
        </w:rPr>
        <w:t>)</w:t>
      </w:r>
      <w:r w:rsidRPr="00820CF7">
        <w:rPr>
          <w:rFonts w:eastAsia="Times New Roman" w:cs="Arial"/>
        </w:rPr>
        <w:t>) de concentration molaire 0,10 mol.L</w:t>
      </w:r>
      <w:r w:rsidRPr="00820CF7">
        <w:rPr>
          <w:rFonts w:eastAsia="Times New Roman" w:cs="Arial"/>
          <w:vertAlign w:val="superscript"/>
        </w:rPr>
        <w:t>-1</w:t>
      </w:r>
      <w:r w:rsidRPr="00820CF7">
        <w:rPr>
          <w:rFonts w:eastAsia="Times New Roman" w:cs="Arial"/>
        </w:rPr>
        <w:t>.</w:t>
      </w:r>
    </w:p>
    <w:p w14:paraId="611AFB42" w14:textId="77777777" w:rsidR="00820CF7" w:rsidRPr="00820CF7" w:rsidRDefault="00820CF7" w:rsidP="00D62F47">
      <w:pPr>
        <w:spacing w:after="0" w:line="240" w:lineRule="auto"/>
        <w:ind w:left="0"/>
        <w:jc w:val="both"/>
        <w:rPr>
          <w:rFonts w:eastAsiaTheme="minorHAnsi" w:cs="Arial"/>
          <w:lang w:eastAsia="en-US"/>
        </w:rPr>
      </w:pPr>
      <w:r w:rsidRPr="00820CF7">
        <w:rPr>
          <w:rFonts w:eastAsiaTheme="minorHAnsi" w:cs="Arial"/>
          <w:lang w:eastAsia="en-US"/>
        </w:rPr>
        <w:t>Les ions peroxodisulfate comme les ions permanganate réagissent en solution aqueuse avec les ions Fe</w:t>
      </w:r>
      <w:r w:rsidRPr="00820CF7">
        <w:rPr>
          <w:rFonts w:eastAsiaTheme="minorHAnsi" w:cs="Arial"/>
          <w:vertAlign w:val="superscript"/>
          <w:lang w:eastAsia="en-US"/>
        </w:rPr>
        <w:t>2+</w:t>
      </w:r>
      <w:r w:rsidRPr="00820CF7">
        <w:rPr>
          <w:rFonts w:eastAsiaTheme="minorHAnsi" w:cs="Arial"/>
          <w:lang w:eastAsia="en-US"/>
        </w:rPr>
        <w:t>. Un test avec une solution aqueuse d’hydroxyde de sodium, après réaction entre les ions Fe</w:t>
      </w:r>
      <w:r w:rsidRPr="00820CF7">
        <w:rPr>
          <w:rFonts w:eastAsiaTheme="minorHAnsi" w:cs="Arial"/>
          <w:vertAlign w:val="superscript"/>
          <w:lang w:eastAsia="en-US"/>
        </w:rPr>
        <w:t>2+</w:t>
      </w:r>
      <w:r w:rsidRPr="00820CF7">
        <w:rPr>
          <w:rFonts w:eastAsiaTheme="minorHAnsi" w:cs="Arial"/>
          <w:lang w:eastAsia="en-US"/>
        </w:rPr>
        <w:t xml:space="preserve"> et les ions S</w:t>
      </w:r>
      <w:r w:rsidRPr="00820CF7">
        <w:rPr>
          <w:rFonts w:eastAsiaTheme="minorHAnsi" w:cs="Arial"/>
          <w:vertAlign w:val="subscript"/>
          <w:lang w:eastAsia="en-US"/>
        </w:rPr>
        <w:t>2</w:t>
      </w:r>
      <w:r w:rsidRPr="00820CF7">
        <w:rPr>
          <w:rFonts w:eastAsiaTheme="minorHAnsi" w:cs="Arial"/>
          <w:lang w:eastAsia="en-US"/>
        </w:rPr>
        <w:t>O</w:t>
      </w:r>
      <w:r w:rsidRPr="00820CF7">
        <w:rPr>
          <w:rFonts w:eastAsiaTheme="minorHAnsi" w:cs="Arial"/>
          <w:vertAlign w:val="subscript"/>
          <w:lang w:eastAsia="en-US"/>
        </w:rPr>
        <w:t>8</w:t>
      </w:r>
      <w:r w:rsidRPr="00820CF7">
        <w:rPr>
          <w:rFonts w:eastAsiaTheme="minorHAnsi" w:cs="Arial"/>
          <w:vertAlign w:val="superscript"/>
          <w:lang w:eastAsia="en-US"/>
        </w:rPr>
        <w:t>2-</w:t>
      </w:r>
      <w:r w:rsidRPr="00820CF7">
        <w:rPr>
          <w:rFonts w:eastAsiaTheme="minorHAnsi" w:cs="Arial"/>
          <w:lang w:eastAsia="en-US"/>
        </w:rPr>
        <w:t xml:space="preserve"> ou MnO</w:t>
      </w:r>
      <w:r w:rsidRPr="00820CF7">
        <w:rPr>
          <w:rFonts w:eastAsiaTheme="minorHAnsi" w:cs="Arial"/>
          <w:vertAlign w:val="subscript"/>
          <w:lang w:eastAsia="en-US"/>
        </w:rPr>
        <w:t>4</w:t>
      </w:r>
      <w:r w:rsidRPr="00820CF7">
        <w:rPr>
          <w:rFonts w:eastAsiaTheme="minorHAnsi" w:cs="Arial"/>
          <w:vertAlign w:val="superscript"/>
          <w:lang w:eastAsia="en-US"/>
        </w:rPr>
        <w:t>-</w:t>
      </w:r>
      <w:r w:rsidRPr="00820CF7">
        <w:rPr>
          <w:rFonts w:eastAsiaTheme="minorHAnsi" w:cs="Arial"/>
          <w:lang w:eastAsia="en-US"/>
        </w:rPr>
        <w:t xml:space="preserve">, conduit au même précipité rouille d’hydroxyde de fer III. </w:t>
      </w:r>
    </w:p>
    <w:p w14:paraId="6325F834" w14:textId="77777777" w:rsidR="00820CF7" w:rsidRPr="00820CF7" w:rsidRDefault="00820CF7" w:rsidP="00820CF7">
      <w:pPr>
        <w:spacing w:after="0" w:line="240" w:lineRule="auto"/>
        <w:ind w:left="426"/>
        <w:contextualSpacing/>
        <w:rPr>
          <w:rFonts w:eastAsia="Times New Roman" w:cs="Arial"/>
        </w:rPr>
      </w:pPr>
    </w:p>
    <w:p w14:paraId="42AFCBF1" w14:textId="77777777" w:rsidR="00820CF7" w:rsidRPr="00820CF7" w:rsidRDefault="00820CF7" w:rsidP="00D62F47">
      <w:pPr>
        <w:numPr>
          <w:ilvl w:val="1"/>
          <w:numId w:val="3"/>
        </w:numPr>
        <w:tabs>
          <w:tab w:val="clear" w:pos="716"/>
          <w:tab w:val="left" w:pos="709"/>
        </w:tabs>
        <w:spacing w:after="0" w:line="240" w:lineRule="auto"/>
        <w:ind w:left="568" w:hanging="426"/>
        <w:jc w:val="both"/>
        <w:rPr>
          <w:rFonts w:eastAsiaTheme="minorHAnsi" w:cs="Arial"/>
          <w:lang w:eastAsia="en-US"/>
        </w:rPr>
      </w:pPr>
      <w:r w:rsidRPr="00820CF7">
        <w:rPr>
          <w:rFonts w:eastAsiaTheme="minorHAnsi" w:cs="Arial"/>
          <w:lang w:eastAsia="en-US"/>
        </w:rPr>
        <w:t>Préciser la nature de la transformation chimique qui se produit quand on mélange des ions Fe</w:t>
      </w:r>
      <w:r w:rsidRPr="00820CF7">
        <w:rPr>
          <w:rFonts w:eastAsiaTheme="minorHAnsi" w:cs="Arial"/>
          <w:vertAlign w:val="superscript"/>
          <w:lang w:eastAsia="en-US"/>
        </w:rPr>
        <w:t>2+</w:t>
      </w:r>
      <w:r w:rsidRPr="00820CF7">
        <w:rPr>
          <w:rFonts w:eastAsiaTheme="minorHAnsi" w:cs="Arial"/>
          <w:lang w:eastAsia="en-US"/>
        </w:rPr>
        <w:t xml:space="preserve"> et des ions peroxodisulfate S</w:t>
      </w:r>
      <w:r w:rsidRPr="00820CF7">
        <w:rPr>
          <w:rFonts w:eastAsiaTheme="minorHAnsi" w:cs="Arial"/>
          <w:vertAlign w:val="subscript"/>
          <w:lang w:eastAsia="en-US"/>
        </w:rPr>
        <w:t>2</w:t>
      </w:r>
      <w:r w:rsidRPr="00820CF7">
        <w:rPr>
          <w:rFonts w:eastAsiaTheme="minorHAnsi" w:cs="Arial"/>
          <w:lang w:eastAsia="en-US"/>
        </w:rPr>
        <w:t>O</w:t>
      </w:r>
      <w:r w:rsidRPr="00820CF7">
        <w:rPr>
          <w:rFonts w:eastAsiaTheme="minorHAnsi" w:cs="Arial"/>
          <w:vertAlign w:val="subscript"/>
          <w:lang w:eastAsia="en-US"/>
        </w:rPr>
        <w:t>8</w:t>
      </w:r>
      <w:r w:rsidRPr="00820CF7">
        <w:rPr>
          <w:rFonts w:eastAsiaTheme="minorHAnsi" w:cs="Arial"/>
          <w:vertAlign w:val="superscript"/>
          <w:lang w:eastAsia="en-US"/>
        </w:rPr>
        <w:t xml:space="preserve">2- </w:t>
      </w:r>
      <w:r w:rsidRPr="00820CF7">
        <w:rPr>
          <w:rFonts w:eastAsiaTheme="minorHAnsi" w:cs="Arial"/>
          <w:lang w:eastAsia="en-US"/>
        </w:rPr>
        <w:t>d’une part</w:t>
      </w:r>
      <w:r w:rsidRPr="00820CF7">
        <w:rPr>
          <w:rFonts w:eastAsiaTheme="minorHAnsi" w:cs="Arial"/>
          <w:vertAlign w:val="superscript"/>
          <w:lang w:eastAsia="en-US"/>
        </w:rPr>
        <w:t xml:space="preserve"> </w:t>
      </w:r>
      <w:r w:rsidRPr="00820CF7">
        <w:rPr>
          <w:rFonts w:eastAsiaTheme="minorHAnsi" w:cs="Arial"/>
          <w:lang w:eastAsia="en-US"/>
        </w:rPr>
        <w:t>ou permanganate MnO</w:t>
      </w:r>
      <w:r w:rsidRPr="00820CF7">
        <w:rPr>
          <w:rFonts w:eastAsiaTheme="minorHAnsi" w:cs="Arial"/>
          <w:vertAlign w:val="subscript"/>
          <w:lang w:eastAsia="en-US"/>
        </w:rPr>
        <w:t>4</w:t>
      </w:r>
      <w:r w:rsidRPr="00820CF7">
        <w:rPr>
          <w:rFonts w:eastAsiaTheme="minorHAnsi" w:cs="Arial"/>
          <w:vertAlign w:val="superscript"/>
          <w:lang w:eastAsia="en-US"/>
        </w:rPr>
        <w:t xml:space="preserve">- </w:t>
      </w:r>
      <w:r w:rsidRPr="00820CF7">
        <w:rPr>
          <w:rFonts w:eastAsiaTheme="minorHAnsi" w:cs="Arial"/>
          <w:lang w:eastAsia="en-US"/>
        </w:rPr>
        <w:t>d’autre</w:t>
      </w:r>
      <w:r w:rsidRPr="00820CF7">
        <w:rPr>
          <w:rFonts w:eastAsiaTheme="minorHAnsi" w:cs="Arial"/>
          <w:vertAlign w:val="superscript"/>
          <w:lang w:eastAsia="en-US"/>
        </w:rPr>
        <w:t xml:space="preserve"> </w:t>
      </w:r>
      <w:r w:rsidRPr="00820CF7">
        <w:rPr>
          <w:rFonts w:eastAsiaTheme="minorHAnsi" w:cs="Arial"/>
          <w:lang w:eastAsia="en-US"/>
        </w:rPr>
        <w:t xml:space="preserve">part, que le test avec une solution aqueuse d’hydroxyde de sodium met en évidence. </w:t>
      </w:r>
    </w:p>
    <w:p w14:paraId="6D2FA95A" w14:textId="77777777" w:rsidR="00820CF7" w:rsidRPr="00820CF7" w:rsidRDefault="00820CF7" w:rsidP="00820CF7">
      <w:pPr>
        <w:tabs>
          <w:tab w:val="left" w:pos="709"/>
        </w:tabs>
        <w:spacing w:after="0" w:line="240" w:lineRule="auto"/>
        <w:ind w:left="568"/>
        <w:rPr>
          <w:rFonts w:eastAsiaTheme="minorHAnsi" w:cs="Arial"/>
          <w:lang w:eastAsia="en-US"/>
        </w:rPr>
      </w:pPr>
    </w:p>
    <w:p w14:paraId="5880C280" w14:textId="77777777" w:rsidR="00820CF7" w:rsidRPr="00820CF7" w:rsidRDefault="00820CF7" w:rsidP="00D62F47">
      <w:pPr>
        <w:numPr>
          <w:ilvl w:val="1"/>
          <w:numId w:val="3"/>
        </w:numPr>
        <w:tabs>
          <w:tab w:val="clear" w:pos="716"/>
          <w:tab w:val="left" w:pos="709"/>
        </w:tabs>
        <w:spacing w:after="0" w:line="240" w:lineRule="auto"/>
        <w:ind w:left="568" w:hanging="426"/>
        <w:jc w:val="both"/>
        <w:rPr>
          <w:rFonts w:eastAsiaTheme="minorHAnsi" w:cs="Arial"/>
          <w:bCs/>
          <w:lang w:eastAsia="en-US"/>
        </w:rPr>
      </w:pPr>
      <w:r w:rsidRPr="00820CF7">
        <w:rPr>
          <w:rFonts w:eastAsiaTheme="minorHAnsi" w:cs="Arial"/>
          <w:lang w:eastAsia="en-US"/>
        </w:rPr>
        <w:t>Écrire les équations des réactions modélisant les transformations chimiques mettant en jeu :</w:t>
      </w:r>
    </w:p>
    <w:p w14:paraId="5EB29C6A" w14:textId="77777777" w:rsidR="00820CF7" w:rsidRPr="00820CF7" w:rsidRDefault="00820CF7" w:rsidP="00820CF7">
      <w:pPr>
        <w:numPr>
          <w:ilvl w:val="0"/>
          <w:numId w:val="4"/>
        </w:numPr>
        <w:tabs>
          <w:tab w:val="left" w:pos="709"/>
        </w:tabs>
        <w:spacing w:after="0" w:line="240" w:lineRule="auto"/>
        <w:contextualSpacing/>
        <w:rPr>
          <w:rFonts w:eastAsia="Times New Roman" w:cs="Arial"/>
          <w:bCs/>
        </w:rPr>
      </w:pPr>
      <w:r w:rsidRPr="00820CF7">
        <w:rPr>
          <w:rFonts w:eastAsia="Times New Roman" w:cs="Arial"/>
        </w:rPr>
        <w:t>les ions Fe</w:t>
      </w:r>
      <w:r w:rsidRPr="00820CF7">
        <w:rPr>
          <w:rFonts w:eastAsia="Times New Roman" w:cs="Arial"/>
          <w:vertAlign w:val="superscript"/>
        </w:rPr>
        <w:t>2+</w:t>
      </w:r>
      <w:r w:rsidRPr="00820CF7">
        <w:rPr>
          <w:rFonts w:eastAsia="Times New Roman" w:cs="Arial"/>
        </w:rPr>
        <w:t xml:space="preserve"> et les ions S</w:t>
      </w:r>
      <w:r w:rsidRPr="00820CF7">
        <w:rPr>
          <w:rFonts w:eastAsia="Times New Roman" w:cs="Arial"/>
          <w:vertAlign w:val="subscript"/>
        </w:rPr>
        <w:t>2</w:t>
      </w:r>
      <w:r w:rsidRPr="00820CF7">
        <w:rPr>
          <w:rFonts w:eastAsia="Times New Roman" w:cs="Arial"/>
        </w:rPr>
        <w:t>O</w:t>
      </w:r>
      <w:r w:rsidRPr="00820CF7">
        <w:rPr>
          <w:rFonts w:eastAsia="Times New Roman" w:cs="Arial"/>
          <w:vertAlign w:val="subscript"/>
        </w:rPr>
        <w:t>8</w:t>
      </w:r>
      <w:r w:rsidRPr="00820CF7">
        <w:rPr>
          <w:rFonts w:eastAsia="Times New Roman" w:cs="Arial"/>
          <w:vertAlign w:val="superscript"/>
        </w:rPr>
        <w:t>2-</w:t>
      </w:r>
      <w:r w:rsidRPr="00820CF7">
        <w:rPr>
          <w:rFonts w:eastAsia="Times New Roman" w:cs="Arial"/>
        </w:rPr>
        <w:t xml:space="preserve"> d’une part, </w:t>
      </w:r>
    </w:p>
    <w:p w14:paraId="05276847" w14:textId="77777777" w:rsidR="00820CF7" w:rsidRPr="00820CF7" w:rsidRDefault="00820CF7" w:rsidP="00820CF7">
      <w:pPr>
        <w:numPr>
          <w:ilvl w:val="0"/>
          <w:numId w:val="4"/>
        </w:numPr>
        <w:tabs>
          <w:tab w:val="left" w:pos="709"/>
        </w:tabs>
        <w:spacing w:after="0" w:line="240" w:lineRule="auto"/>
        <w:contextualSpacing/>
        <w:rPr>
          <w:rFonts w:eastAsia="Times New Roman" w:cs="Arial"/>
          <w:bCs/>
        </w:rPr>
      </w:pPr>
      <w:r w:rsidRPr="00820CF7">
        <w:rPr>
          <w:rFonts w:eastAsia="Times New Roman" w:cs="Arial"/>
        </w:rPr>
        <w:t>les ions Fe</w:t>
      </w:r>
      <w:r w:rsidRPr="00820CF7">
        <w:rPr>
          <w:rFonts w:eastAsia="Times New Roman" w:cs="Arial"/>
          <w:vertAlign w:val="superscript"/>
        </w:rPr>
        <w:t>2+</w:t>
      </w:r>
      <w:r w:rsidRPr="00820CF7">
        <w:rPr>
          <w:rFonts w:eastAsia="Times New Roman" w:cs="Arial"/>
        </w:rPr>
        <w:t xml:space="preserve"> et les ions MnO</w:t>
      </w:r>
      <w:r w:rsidRPr="00820CF7">
        <w:rPr>
          <w:rFonts w:eastAsia="Times New Roman" w:cs="Arial"/>
          <w:vertAlign w:val="subscript"/>
        </w:rPr>
        <w:t>4</w:t>
      </w:r>
      <w:r w:rsidRPr="00820CF7">
        <w:rPr>
          <w:rFonts w:eastAsia="Times New Roman" w:cs="Arial"/>
          <w:vertAlign w:val="superscript"/>
        </w:rPr>
        <w:t>-</w:t>
      </w:r>
      <w:r w:rsidRPr="00820CF7">
        <w:rPr>
          <w:rFonts w:eastAsia="Times New Roman" w:cs="Arial"/>
        </w:rPr>
        <w:t xml:space="preserve"> d’autre part</w:t>
      </w:r>
      <w:r w:rsidRPr="00820CF7">
        <w:rPr>
          <w:rFonts w:eastAsia="Times New Roman" w:cs="Arial"/>
          <w:bCs/>
        </w:rPr>
        <w:t>.</w:t>
      </w:r>
    </w:p>
    <w:p w14:paraId="53D81022" w14:textId="77777777" w:rsidR="00820CF7" w:rsidRPr="00820CF7" w:rsidRDefault="00820CF7" w:rsidP="00820CF7">
      <w:pPr>
        <w:tabs>
          <w:tab w:val="left" w:pos="709"/>
        </w:tabs>
        <w:spacing w:after="0" w:line="240" w:lineRule="auto"/>
        <w:ind w:left="142"/>
        <w:rPr>
          <w:rFonts w:eastAsiaTheme="minorHAnsi" w:cs="Arial"/>
          <w:b/>
          <w:sz w:val="16"/>
          <w:szCs w:val="16"/>
          <w:lang w:eastAsia="en-US"/>
        </w:rPr>
      </w:pPr>
    </w:p>
    <w:p w14:paraId="22EFC5DD" w14:textId="77777777" w:rsidR="00820CF7" w:rsidRPr="00820CF7" w:rsidRDefault="00820CF7" w:rsidP="00D62F47">
      <w:pPr>
        <w:numPr>
          <w:ilvl w:val="1"/>
          <w:numId w:val="3"/>
        </w:numPr>
        <w:tabs>
          <w:tab w:val="clear" w:pos="716"/>
          <w:tab w:val="left" w:pos="709"/>
        </w:tabs>
        <w:spacing w:after="0" w:line="240" w:lineRule="auto"/>
        <w:ind w:left="568" w:hanging="426"/>
        <w:jc w:val="both"/>
        <w:rPr>
          <w:rFonts w:eastAsiaTheme="minorHAnsi" w:cs="Arial"/>
          <w:bCs/>
          <w:lang w:eastAsia="en-US"/>
        </w:rPr>
      </w:pPr>
      <w:r w:rsidRPr="00820CF7">
        <w:rPr>
          <w:rFonts w:eastAsiaTheme="minorHAnsi" w:cs="Arial"/>
          <w:bCs/>
          <w:lang w:eastAsia="en-US"/>
        </w:rPr>
        <w:t xml:space="preserve">Montrer, en vous référant à la couleur de chaque solution titrante, qu’il est plus judicieux de choisir la solution de permanganate de potassium pour réaliser le titrage des </w:t>
      </w:r>
      <w:r w:rsidRPr="00820CF7">
        <w:rPr>
          <w:rFonts w:eastAsiaTheme="minorHAnsi" w:cs="Arial"/>
          <w:lang w:eastAsia="en-US"/>
        </w:rPr>
        <w:t>ions ferreux contenus dans le produit phytosanitaire</w:t>
      </w:r>
      <w:r w:rsidRPr="00820CF7">
        <w:rPr>
          <w:rFonts w:eastAsiaTheme="minorHAnsi" w:cs="Arial"/>
          <w:bCs/>
          <w:lang w:eastAsia="en-US"/>
        </w:rPr>
        <w:t>, la coloration due aux ions ferreux (Fe</w:t>
      </w:r>
      <w:r w:rsidRPr="00820CF7">
        <w:rPr>
          <w:rFonts w:eastAsiaTheme="minorHAnsi" w:cs="Arial"/>
          <w:bCs/>
          <w:vertAlign w:val="superscript"/>
          <w:lang w:eastAsia="en-US"/>
        </w:rPr>
        <w:t>2+</w:t>
      </w:r>
      <w:r w:rsidRPr="00820CF7">
        <w:rPr>
          <w:rFonts w:eastAsiaTheme="minorHAnsi" w:cs="Arial"/>
          <w:bCs/>
          <w:lang w:eastAsia="en-US"/>
        </w:rPr>
        <w:t>) ou ferrique (Fe</w:t>
      </w:r>
      <w:r w:rsidRPr="00820CF7">
        <w:rPr>
          <w:rFonts w:eastAsiaTheme="minorHAnsi" w:cs="Arial"/>
          <w:bCs/>
          <w:vertAlign w:val="superscript"/>
          <w:lang w:eastAsia="en-US"/>
        </w:rPr>
        <w:t>3+</w:t>
      </w:r>
      <w:r w:rsidRPr="00820CF7">
        <w:rPr>
          <w:rFonts w:eastAsiaTheme="minorHAnsi" w:cs="Arial"/>
          <w:bCs/>
          <w:lang w:eastAsia="en-US"/>
        </w:rPr>
        <w:t>)  en solution aqueuse étant très peu perceptible.</w:t>
      </w:r>
    </w:p>
    <w:p w14:paraId="63867D22" w14:textId="77777777" w:rsidR="00820CF7" w:rsidRPr="00820CF7" w:rsidRDefault="00820CF7" w:rsidP="00820CF7">
      <w:pPr>
        <w:tabs>
          <w:tab w:val="left" w:pos="709"/>
        </w:tabs>
        <w:spacing w:after="0" w:line="240" w:lineRule="auto"/>
        <w:ind w:left="568"/>
        <w:rPr>
          <w:rFonts w:eastAsiaTheme="minorHAnsi" w:cs="Arial"/>
          <w:bCs/>
          <w:lang w:eastAsia="en-US"/>
        </w:rPr>
      </w:pPr>
    </w:p>
    <w:p w14:paraId="397B76FD" w14:textId="77777777" w:rsidR="00820CF7" w:rsidRPr="00820CF7" w:rsidRDefault="00820CF7" w:rsidP="00D62F47">
      <w:pPr>
        <w:numPr>
          <w:ilvl w:val="1"/>
          <w:numId w:val="3"/>
        </w:numPr>
        <w:tabs>
          <w:tab w:val="clear" w:pos="716"/>
          <w:tab w:val="left" w:pos="709"/>
        </w:tabs>
        <w:spacing w:after="0" w:line="240" w:lineRule="auto"/>
        <w:ind w:left="568" w:hanging="426"/>
        <w:jc w:val="both"/>
        <w:rPr>
          <w:rFonts w:eastAsiaTheme="minorHAnsi" w:cs="Arial"/>
          <w:bCs/>
          <w:lang w:eastAsia="en-US"/>
        </w:rPr>
      </w:pPr>
      <w:r w:rsidRPr="00820CF7">
        <w:rPr>
          <w:rFonts w:eastAsiaTheme="minorHAnsi" w:cs="Arial"/>
          <w:bCs/>
          <w:lang w:eastAsia="en-US"/>
        </w:rPr>
        <w:t>Définir l’équivalence d’un titrage.</w:t>
      </w:r>
    </w:p>
    <w:p w14:paraId="5090A87E" w14:textId="612D5B52" w:rsidR="00D62F47" w:rsidRDefault="00D62F47">
      <w:pPr>
        <w:spacing w:after="0" w:line="240" w:lineRule="auto"/>
        <w:ind w:left="0"/>
        <w:rPr>
          <w:rFonts w:eastAsiaTheme="minorHAnsi" w:cs="Arial"/>
          <w:bCs/>
          <w:lang w:eastAsia="en-US"/>
        </w:rPr>
      </w:pPr>
      <w:r>
        <w:rPr>
          <w:rFonts w:eastAsiaTheme="minorHAnsi" w:cs="Arial"/>
          <w:bCs/>
          <w:lang w:eastAsia="en-US"/>
        </w:rPr>
        <w:br w:type="page"/>
      </w:r>
    </w:p>
    <w:p w14:paraId="589CC8C8" w14:textId="77777777" w:rsidR="00820CF7" w:rsidRPr="00820CF7" w:rsidRDefault="00820CF7" w:rsidP="00820CF7">
      <w:pPr>
        <w:numPr>
          <w:ilvl w:val="0"/>
          <w:numId w:val="3"/>
        </w:numPr>
        <w:spacing w:after="0" w:line="240" w:lineRule="auto"/>
        <w:contextualSpacing/>
        <w:rPr>
          <w:rFonts w:eastAsia="Times New Roman" w:cs="Arial"/>
          <w:b/>
          <w:bCs/>
        </w:rPr>
      </w:pPr>
      <w:r w:rsidRPr="00820CF7">
        <w:rPr>
          <w:rFonts w:eastAsia="Times New Roman" w:cs="Arial"/>
          <w:b/>
          <w:bCs/>
        </w:rPr>
        <w:lastRenderedPageBreak/>
        <w:t>Mise en œuvre du titrage</w:t>
      </w:r>
    </w:p>
    <w:p w14:paraId="11CF86C9" w14:textId="77777777" w:rsidR="00820CF7" w:rsidRPr="00820CF7" w:rsidRDefault="00820CF7" w:rsidP="00820CF7">
      <w:pPr>
        <w:spacing w:after="0" w:line="240" w:lineRule="auto"/>
        <w:ind w:left="280"/>
        <w:rPr>
          <w:rFonts w:eastAsiaTheme="minorHAnsi" w:cs="Arial"/>
          <w:b/>
          <w:bCs/>
          <w:sz w:val="16"/>
          <w:szCs w:val="16"/>
          <w:lang w:eastAsia="en-US"/>
        </w:rPr>
      </w:pPr>
    </w:p>
    <w:p w14:paraId="61729699" w14:textId="77777777" w:rsidR="00820CF7" w:rsidRPr="00820CF7" w:rsidRDefault="00820CF7" w:rsidP="00820CF7">
      <w:pPr>
        <w:spacing w:after="0" w:line="240" w:lineRule="auto"/>
        <w:ind w:left="0"/>
        <w:jc w:val="center"/>
        <w:rPr>
          <w:rFonts w:eastAsiaTheme="minorHAnsi" w:cs="Arial"/>
          <w:lang w:eastAsia="en-US"/>
        </w:rPr>
      </w:pPr>
      <w:r w:rsidRPr="00820CF7">
        <w:rPr>
          <w:rFonts w:eastAsiaTheme="minorHAnsi" w:cs="Arial"/>
          <w:noProof/>
        </w:rPr>
        <w:drawing>
          <wp:inline distT="0" distB="0" distL="0" distR="0" wp14:anchorId="61B64E0C" wp14:editId="38D7B13C">
            <wp:extent cx="3149160" cy="2243151"/>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rerie.JPG"/>
                    <pic:cNvPicPr/>
                  </pic:nvPicPr>
                  <pic:blipFill>
                    <a:blip r:embed="rId12">
                      <a:extLst>
                        <a:ext uri="{28A0092B-C50C-407E-A947-70E740481C1C}">
                          <a14:useLocalDpi xmlns:a14="http://schemas.microsoft.com/office/drawing/2010/main" val="0"/>
                        </a:ext>
                      </a:extLst>
                    </a:blip>
                    <a:stretch>
                      <a:fillRect/>
                    </a:stretch>
                  </pic:blipFill>
                  <pic:spPr>
                    <a:xfrm>
                      <a:off x="0" y="0"/>
                      <a:ext cx="3149160" cy="2243151"/>
                    </a:xfrm>
                    <a:prstGeom prst="rect">
                      <a:avLst/>
                    </a:prstGeom>
                  </pic:spPr>
                </pic:pic>
              </a:graphicData>
            </a:graphic>
          </wp:inline>
        </w:drawing>
      </w:r>
    </w:p>
    <w:p w14:paraId="040853A9" w14:textId="77777777" w:rsidR="00820CF7" w:rsidRPr="00820CF7" w:rsidRDefault="00820CF7" w:rsidP="00820CF7">
      <w:pPr>
        <w:spacing w:after="0" w:line="240" w:lineRule="auto"/>
        <w:ind w:left="0"/>
        <w:rPr>
          <w:rFonts w:eastAsiaTheme="minorHAnsi" w:cs="Arial"/>
          <w:sz w:val="16"/>
          <w:szCs w:val="16"/>
          <w:lang w:eastAsia="en-US"/>
        </w:rPr>
      </w:pPr>
    </w:p>
    <w:p w14:paraId="4E7E3955" w14:textId="77777777" w:rsidR="00820CF7" w:rsidRPr="00820CF7" w:rsidRDefault="00820CF7" w:rsidP="00157190">
      <w:pPr>
        <w:numPr>
          <w:ilvl w:val="1"/>
          <w:numId w:val="3"/>
        </w:numPr>
        <w:tabs>
          <w:tab w:val="clear" w:pos="716"/>
          <w:tab w:val="left" w:pos="709"/>
        </w:tabs>
        <w:spacing w:after="0" w:line="240" w:lineRule="auto"/>
        <w:ind w:left="568" w:hanging="426"/>
        <w:jc w:val="both"/>
        <w:rPr>
          <w:rFonts w:eastAsiaTheme="minorHAnsi" w:cs="Arial"/>
          <w:lang w:eastAsia="en-US"/>
        </w:rPr>
      </w:pPr>
      <w:r w:rsidRPr="00820CF7">
        <w:rPr>
          <w:rFonts w:eastAsiaTheme="minorHAnsi" w:cs="Arial"/>
          <w:lang w:eastAsia="en-US"/>
        </w:rPr>
        <w:t>La solution de permanganate de potassium étant trop concentrée, il est nécessaire de la diluer 5 fois avant de l’utiliser pour le titrage. Choisir, dans la liste de matériel proposé (photographie ci-dessus), la verrerie adaptée à cette dilution. Justifier.</w:t>
      </w:r>
    </w:p>
    <w:p w14:paraId="5B6A61E5" w14:textId="77777777" w:rsidR="00820CF7" w:rsidRPr="00820CF7" w:rsidRDefault="00820CF7" w:rsidP="00820CF7">
      <w:pPr>
        <w:tabs>
          <w:tab w:val="left" w:pos="709"/>
        </w:tabs>
        <w:spacing w:after="0" w:line="240" w:lineRule="auto"/>
        <w:ind w:left="568"/>
        <w:rPr>
          <w:rFonts w:eastAsiaTheme="minorHAnsi" w:cs="Arial"/>
          <w:lang w:eastAsia="en-US"/>
        </w:rPr>
      </w:pPr>
    </w:p>
    <w:p w14:paraId="1B3A7D3D" w14:textId="67C95398" w:rsidR="00820CF7" w:rsidRPr="00820CF7" w:rsidRDefault="00820CF7" w:rsidP="00157190">
      <w:pPr>
        <w:numPr>
          <w:ilvl w:val="1"/>
          <w:numId w:val="3"/>
        </w:numPr>
        <w:tabs>
          <w:tab w:val="clear" w:pos="716"/>
          <w:tab w:val="left" w:pos="709"/>
        </w:tabs>
        <w:spacing w:after="0" w:line="240" w:lineRule="auto"/>
        <w:ind w:left="568" w:hanging="426"/>
        <w:jc w:val="both"/>
        <w:rPr>
          <w:rFonts w:eastAsiaTheme="minorHAnsi" w:cs="Arial"/>
          <w:lang w:eastAsia="en-US"/>
        </w:rPr>
      </w:pPr>
      <w:r w:rsidRPr="00820CF7">
        <w:rPr>
          <w:rFonts w:eastAsiaTheme="minorHAnsi" w:cs="Arial"/>
          <w:lang w:eastAsia="en-US"/>
        </w:rPr>
        <w:t>Expliquer pourquoi certaines verreries sont associées à des capacités notées 100 mL, 50</w:t>
      </w:r>
      <w:r w:rsidR="00157190">
        <w:rPr>
          <w:rFonts w:eastAsiaTheme="minorHAnsi" w:cs="Arial"/>
          <w:lang w:eastAsia="en-US"/>
        </w:rPr>
        <w:t> </w:t>
      </w:r>
      <w:r w:rsidRPr="00820CF7">
        <w:rPr>
          <w:rFonts w:eastAsiaTheme="minorHAnsi" w:cs="Arial"/>
          <w:lang w:eastAsia="en-US"/>
        </w:rPr>
        <w:t xml:space="preserve">mL, 10 mL, et d’autres à des capacités de 100,0 mL, 50,0 mL, 10,0 mL. </w:t>
      </w:r>
    </w:p>
    <w:p w14:paraId="2DE347FB" w14:textId="77777777" w:rsidR="00820CF7" w:rsidRPr="00820CF7" w:rsidRDefault="00820CF7" w:rsidP="00820CF7">
      <w:pPr>
        <w:tabs>
          <w:tab w:val="left" w:pos="709"/>
        </w:tabs>
        <w:spacing w:after="0" w:line="240" w:lineRule="auto"/>
        <w:ind w:left="0"/>
        <w:rPr>
          <w:rFonts w:eastAsiaTheme="minorHAnsi" w:cs="Arial"/>
          <w:sz w:val="16"/>
          <w:szCs w:val="16"/>
          <w:lang w:eastAsia="en-US"/>
        </w:rPr>
      </w:pPr>
    </w:p>
    <w:p w14:paraId="034D3237" w14:textId="77777777" w:rsidR="00820CF7" w:rsidRPr="00820CF7" w:rsidRDefault="00820CF7" w:rsidP="00157190">
      <w:pPr>
        <w:numPr>
          <w:ilvl w:val="1"/>
          <w:numId w:val="3"/>
        </w:numPr>
        <w:tabs>
          <w:tab w:val="clear" w:pos="716"/>
          <w:tab w:val="left" w:pos="709"/>
        </w:tabs>
        <w:spacing w:after="0" w:line="240" w:lineRule="auto"/>
        <w:ind w:left="568" w:hanging="426"/>
        <w:jc w:val="both"/>
        <w:rPr>
          <w:rFonts w:eastAsiaTheme="minorHAnsi" w:cs="Arial"/>
          <w:lang w:eastAsia="en-US"/>
        </w:rPr>
      </w:pPr>
      <w:r w:rsidRPr="00820CF7">
        <w:rPr>
          <w:rFonts w:eastAsiaTheme="minorHAnsi" w:cs="Arial"/>
          <w:lang w:eastAsia="en-US"/>
        </w:rPr>
        <w:t xml:space="preserve">Le produit phytosanitaire se présente sous la forme d’une poudre. Afin de réaliser le titrage, on dissout 100,0 g de produit dans de l’eau et on complète avec de l’eau de façon à obtenir 1,0 L de solution. </w:t>
      </w:r>
    </w:p>
    <w:p w14:paraId="438C2D24" w14:textId="77777777" w:rsidR="00820CF7" w:rsidRPr="00820CF7" w:rsidRDefault="00820CF7" w:rsidP="00157190">
      <w:pPr>
        <w:numPr>
          <w:ilvl w:val="2"/>
          <w:numId w:val="3"/>
        </w:numPr>
        <w:tabs>
          <w:tab w:val="left" w:pos="709"/>
          <w:tab w:val="num" w:pos="1985"/>
        </w:tabs>
        <w:spacing w:after="0" w:line="240" w:lineRule="auto"/>
        <w:ind w:left="1701" w:hanging="708"/>
        <w:contextualSpacing/>
        <w:jc w:val="both"/>
        <w:rPr>
          <w:rFonts w:eastAsia="Times New Roman" w:cs="Arial"/>
        </w:rPr>
      </w:pPr>
      <w:r w:rsidRPr="00820CF7">
        <w:rPr>
          <w:rFonts w:eastAsia="Times New Roman" w:cs="Arial"/>
        </w:rPr>
        <w:t>On prélève 10,0 mL de cette solution qu’on introduit dans un erlenmeyer. Dans la liste de matériel proposée ci-dessus, choisir la verrerie utilisée pour prélever ces 10,0 mL.</w:t>
      </w:r>
    </w:p>
    <w:p w14:paraId="73AC8AA8" w14:textId="77777777" w:rsidR="00820CF7" w:rsidRPr="00820CF7" w:rsidRDefault="00820CF7" w:rsidP="00157190">
      <w:pPr>
        <w:numPr>
          <w:ilvl w:val="2"/>
          <w:numId w:val="3"/>
        </w:numPr>
        <w:tabs>
          <w:tab w:val="left" w:pos="709"/>
          <w:tab w:val="num" w:pos="1985"/>
        </w:tabs>
        <w:spacing w:after="0" w:line="240" w:lineRule="auto"/>
        <w:ind w:left="1701" w:hanging="708"/>
        <w:contextualSpacing/>
        <w:jc w:val="both"/>
        <w:rPr>
          <w:rFonts w:eastAsia="Times New Roman" w:cs="Arial"/>
        </w:rPr>
      </w:pPr>
      <w:r w:rsidRPr="00820CF7">
        <w:rPr>
          <w:rFonts w:eastAsia="Times New Roman" w:cs="Arial"/>
        </w:rPr>
        <w:t>Schématiser et légender le montage utilisé afin de réaliser le titrage.</w:t>
      </w:r>
    </w:p>
    <w:p w14:paraId="3D5031F0" w14:textId="77777777" w:rsidR="00820CF7" w:rsidRPr="00820CF7" w:rsidRDefault="00820CF7" w:rsidP="00820CF7">
      <w:pPr>
        <w:tabs>
          <w:tab w:val="left" w:pos="709"/>
        </w:tabs>
        <w:spacing w:after="0" w:line="240" w:lineRule="auto"/>
        <w:ind w:left="1922"/>
        <w:contextualSpacing/>
        <w:rPr>
          <w:rFonts w:eastAsia="Times New Roman" w:cs="Arial"/>
        </w:rPr>
      </w:pPr>
    </w:p>
    <w:p w14:paraId="48989509" w14:textId="77777777" w:rsidR="00820CF7" w:rsidRPr="00820CF7" w:rsidRDefault="00820CF7" w:rsidP="00820CF7">
      <w:pPr>
        <w:numPr>
          <w:ilvl w:val="0"/>
          <w:numId w:val="3"/>
        </w:numPr>
        <w:spacing w:after="0" w:line="240" w:lineRule="auto"/>
        <w:ind w:left="280" w:hanging="280"/>
        <w:rPr>
          <w:rFonts w:eastAsiaTheme="minorHAnsi" w:cs="Arial"/>
          <w:b/>
          <w:bCs/>
          <w:lang w:eastAsia="en-US"/>
        </w:rPr>
      </w:pPr>
      <w:r w:rsidRPr="00820CF7">
        <w:rPr>
          <w:rFonts w:eastAsiaTheme="minorHAnsi" w:cs="Arial"/>
          <w:b/>
          <w:bCs/>
          <w:lang w:eastAsia="en-US"/>
        </w:rPr>
        <w:t>Exploitation du résultat du titrage</w:t>
      </w:r>
    </w:p>
    <w:p w14:paraId="209A53BC" w14:textId="77777777" w:rsidR="00820CF7" w:rsidRPr="00820CF7" w:rsidRDefault="00820CF7" w:rsidP="00820CF7">
      <w:pPr>
        <w:spacing w:after="0" w:line="240" w:lineRule="auto"/>
        <w:ind w:left="0"/>
        <w:rPr>
          <w:rFonts w:eastAsiaTheme="minorHAnsi" w:cs="Arial"/>
          <w:lang w:eastAsia="en-US"/>
        </w:rPr>
      </w:pPr>
    </w:p>
    <w:p w14:paraId="5B8B287D" w14:textId="77777777" w:rsidR="00820CF7" w:rsidRPr="00820CF7" w:rsidRDefault="00820CF7" w:rsidP="00820CF7">
      <w:pPr>
        <w:numPr>
          <w:ilvl w:val="1"/>
          <w:numId w:val="3"/>
        </w:numPr>
        <w:tabs>
          <w:tab w:val="clear" w:pos="716"/>
          <w:tab w:val="left" w:pos="709"/>
        </w:tabs>
        <w:spacing w:after="0" w:line="240" w:lineRule="auto"/>
        <w:ind w:left="568" w:hanging="426"/>
        <w:rPr>
          <w:rFonts w:eastAsiaTheme="minorHAnsi" w:cs="Arial"/>
          <w:lang w:eastAsia="en-US"/>
        </w:rPr>
      </w:pPr>
      <w:r w:rsidRPr="00820CF7">
        <w:rPr>
          <w:rFonts w:eastAsiaTheme="minorHAnsi" w:cs="Arial"/>
          <w:lang w:eastAsia="en-US"/>
        </w:rPr>
        <w:t xml:space="preserve">Le titrage est réalisé plusieurs fois. On note </w:t>
      </w:r>
      <w:r w:rsidRPr="00820CF7">
        <w:rPr>
          <w:rFonts w:eastAsiaTheme="minorHAnsi" w:cs="Arial"/>
          <w:i/>
          <w:iCs/>
          <w:lang w:eastAsia="en-US"/>
        </w:rPr>
        <w:t>V</w:t>
      </w:r>
      <w:r w:rsidRPr="00820CF7">
        <w:rPr>
          <w:rFonts w:eastAsiaTheme="minorHAnsi" w:cs="Arial"/>
          <w:vertAlign w:val="subscript"/>
          <w:lang w:eastAsia="en-US"/>
        </w:rPr>
        <w:t>E</w:t>
      </w:r>
      <w:r w:rsidRPr="00820CF7">
        <w:rPr>
          <w:rFonts w:eastAsiaTheme="minorHAnsi" w:cs="Arial"/>
          <w:lang w:eastAsia="en-US"/>
        </w:rPr>
        <w:t>, le volume de solution de permanganate de potassium versé pour atteindre l’équivalence pour chaque titrage réalisé. Les résultats sont rassemblés dans le tableau suivant :</w:t>
      </w:r>
    </w:p>
    <w:tbl>
      <w:tblPr>
        <w:tblStyle w:val="Grilledutableau2"/>
        <w:tblW w:w="0" w:type="auto"/>
        <w:jc w:val="center"/>
        <w:tblLook w:val="04A0" w:firstRow="1" w:lastRow="0" w:firstColumn="1" w:lastColumn="0" w:noHBand="0" w:noVBand="1"/>
      </w:tblPr>
      <w:tblGrid>
        <w:gridCol w:w="1562"/>
        <w:gridCol w:w="798"/>
        <w:gridCol w:w="821"/>
        <w:gridCol w:w="821"/>
        <w:gridCol w:w="814"/>
        <w:gridCol w:w="814"/>
        <w:gridCol w:w="814"/>
        <w:gridCol w:w="684"/>
        <w:gridCol w:w="684"/>
        <w:gridCol w:w="684"/>
        <w:gridCol w:w="684"/>
      </w:tblGrid>
      <w:tr w:rsidR="00820CF7" w:rsidRPr="00820CF7" w14:paraId="6CD97FF2" w14:textId="77777777" w:rsidTr="00AF5DC6">
        <w:trPr>
          <w:jc w:val="center"/>
        </w:trPr>
        <w:tc>
          <w:tcPr>
            <w:tcW w:w="1562" w:type="dxa"/>
            <w:vAlign w:val="center"/>
          </w:tcPr>
          <w:p w14:paraId="049D3169"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Mesure</w:t>
            </w:r>
          </w:p>
        </w:tc>
        <w:tc>
          <w:tcPr>
            <w:tcW w:w="798" w:type="dxa"/>
            <w:vAlign w:val="center"/>
          </w:tcPr>
          <w:p w14:paraId="1D7D2F23"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w:t>
            </w:r>
          </w:p>
        </w:tc>
        <w:tc>
          <w:tcPr>
            <w:tcW w:w="821" w:type="dxa"/>
            <w:vAlign w:val="center"/>
          </w:tcPr>
          <w:p w14:paraId="668608B6"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2</w:t>
            </w:r>
          </w:p>
        </w:tc>
        <w:tc>
          <w:tcPr>
            <w:tcW w:w="821" w:type="dxa"/>
            <w:vAlign w:val="center"/>
          </w:tcPr>
          <w:p w14:paraId="3F091465"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3</w:t>
            </w:r>
          </w:p>
        </w:tc>
        <w:tc>
          <w:tcPr>
            <w:tcW w:w="814" w:type="dxa"/>
            <w:vAlign w:val="center"/>
          </w:tcPr>
          <w:p w14:paraId="5A603E35"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4</w:t>
            </w:r>
          </w:p>
        </w:tc>
        <w:tc>
          <w:tcPr>
            <w:tcW w:w="814" w:type="dxa"/>
            <w:vAlign w:val="center"/>
          </w:tcPr>
          <w:p w14:paraId="393F5717"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5</w:t>
            </w:r>
          </w:p>
        </w:tc>
        <w:tc>
          <w:tcPr>
            <w:tcW w:w="814" w:type="dxa"/>
            <w:vAlign w:val="center"/>
          </w:tcPr>
          <w:p w14:paraId="4DFCCD0B"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6</w:t>
            </w:r>
          </w:p>
        </w:tc>
        <w:tc>
          <w:tcPr>
            <w:tcW w:w="684" w:type="dxa"/>
            <w:vAlign w:val="center"/>
          </w:tcPr>
          <w:p w14:paraId="765307F8"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7</w:t>
            </w:r>
          </w:p>
        </w:tc>
        <w:tc>
          <w:tcPr>
            <w:tcW w:w="684" w:type="dxa"/>
            <w:vAlign w:val="center"/>
          </w:tcPr>
          <w:p w14:paraId="6A65A14A"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8</w:t>
            </w:r>
          </w:p>
        </w:tc>
        <w:tc>
          <w:tcPr>
            <w:tcW w:w="684" w:type="dxa"/>
            <w:vAlign w:val="center"/>
          </w:tcPr>
          <w:p w14:paraId="57E978CF"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9</w:t>
            </w:r>
          </w:p>
        </w:tc>
        <w:tc>
          <w:tcPr>
            <w:tcW w:w="684" w:type="dxa"/>
            <w:vAlign w:val="center"/>
          </w:tcPr>
          <w:p w14:paraId="32CC90BD"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w:t>
            </w:r>
          </w:p>
        </w:tc>
      </w:tr>
      <w:tr w:rsidR="00820CF7" w:rsidRPr="00820CF7" w14:paraId="3D9D6F09" w14:textId="77777777" w:rsidTr="00AF5DC6">
        <w:trPr>
          <w:jc w:val="center"/>
        </w:trPr>
        <w:tc>
          <w:tcPr>
            <w:tcW w:w="1562" w:type="dxa"/>
            <w:vAlign w:val="center"/>
          </w:tcPr>
          <w:p w14:paraId="6F0E4638"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i/>
                <w:iCs/>
              </w:rPr>
              <w:t>V</w:t>
            </w:r>
            <w:r w:rsidRPr="00820CF7">
              <w:rPr>
                <w:rFonts w:ascii="Arial" w:eastAsia="Times New Roman" w:hAnsi="Arial" w:cs="Arial"/>
                <w:i/>
                <w:iCs/>
                <w:vertAlign w:val="subscript"/>
              </w:rPr>
              <w:t>E</w:t>
            </w:r>
            <w:r w:rsidRPr="00820CF7">
              <w:rPr>
                <w:rFonts w:ascii="Arial" w:eastAsia="Times New Roman" w:hAnsi="Arial" w:cs="Arial"/>
              </w:rPr>
              <w:t xml:space="preserve"> en mL</w:t>
            </w:r>
          </w:p>
        </w:tc>
        <w:tc>
          <w:tcPr>
            <w:tcW w:w="798" w:type="dxa"/>
            <w:vAlign w:val="center"/>
          </w:tcPr>
          <w:p w14:paraId="11A8D459"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11,0</w:t>
            </w:r>
          </w:p>
        </w:tc>
        <w:tc>
          <w:tcPr>
            <w:tcW w:w="821" w:type="dxa"/>
            <w:vAlign w:val="center"/>
          </w:tcPr>
          <w:p w14:paraId="14E71381"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10,6</w:t>
            </w:r>
          </w:p>
        </w:tc>
        <w:tc>
          <w:tcPr>
            <w:tcW w:w="821" w:type="dxa"/>
            <w:vAlign w:val="center"/>
          </w:tcPr>
          <w:p w14:paraId="7FE4060A"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10,4</w:t>
            </w:r>
          </w:p>
        </w:tc>
        <w:tc>
          <w:tcPr>
            <w:tcW w:w="814" w:type="dxa"/>
            <w:vAlign w:val="center"/>
          </w:tcPr>
          <w:p w14:paraId="69C8A717"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10,6</w:t>
            </w:r>
          </w:p>
        </w:tc>
        <w:tc>
          <w:tcPr>
            <w:tcW w:w="814" w:type="dxa"/>
            <w:vAlign w:val="center"/>
          </w:tcPr>
          <w:p w14:paraId="51BF0821"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10,8</w:t>
            </w:r>
          </w:p>
        </w:tc>
        <w:tc>
          <w:tcPr>
            <w:tcW w:w="814" w:type="dxa"/>
            <w:vAlign w:val="center"/>
          </w:tcPr>
          <w:p w14:paraId="28A7AD9C"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10,5</w:t>
            </w:r>
          </w:p>
        </w:tc>
        <w:tc>
          <w:tcPr>
            <w:tcW w:w="684" w:type="dxa"/>
            <w:vAlign w:val="center"/>
          </w:tcPr>
          <w:p w14:paraId="43BC086C"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10,7</w:t>
            </w:r>
          </w:p>
        </w:tc>
        <w:tc>
          <w:tcPr>
            <w:tcW w:w="684" w:type="dxa"/>
            <w:vAlign w:val="center"/>
          </w:tcPr>
          <w:p w14:paraId="1F9BED67"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10,9</w:t>
            </w:r>
          </w:p>
        </w:tc>
        <w:tc>
          <w:tcPr>
            <w:tcW w:w="684" w:type="dxa"/>
            <w:vAlign w:val="center"/>
          </w:tcPr>
          <w:p w14:paraId="3BEF5DE9"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11,2</w:t>
            </w:r>
          </w:p>
        </w:tc>
        <w:tc>
          <w:tcPr>
            <w:tcW w:w="684" w:type="dxa"/>
            <w:vAlign w:val="center"/>
          </w:tcPr>
          <w:p w14:paraId="68F29726" w14:textId="77777777" w:rsidR="00820CF7" w:rsidRPr="00820CF7" w:rsidRDefault="00820CF7" w:rsidP="00820CF7">
            <w:pPr>
              <w:spacing w:after="0" w:line="240" w:lineRule="auto"/>
              <w:ind w:left="0"/>
              <w:contextualSpacing/>
              <w:rPr>
                <w:rFonts w:ascii="Arial" w:eastAsia="Times New Roman" w:hAnsi="Arial" w:cs="Arial"/>
              </w:rPr>
            </w:pPr>
            <w:r w:rsidRPr="00820CF7">
              <w:rPr>
                <w:rFonts w:ascii="Arial" w:eastAsia="Times New Roman" w:hAnsi="Arial" w:cs="Arial"/>
              </w:rPr>
              <w:t>11,0</w:t>
            </w:r>
          </w:p>
        </w:tc>
      </w:tr>
    </w:tbl>
    <w:p w14:paraId="5BB98B21" w14:textId="77777777" w:rsidR="00820CF7" w:rsidRPr="00820CF7" w:rsidRDefault="00820CF7" w:rsidP="00820CF7">
      <w:pPr>
        <w:spacing w:after="0" w:line="240" w:lineRule="auto"/>
        <w:ind w:left="567"/>
        <w:contextualSpacing/>
        <w:rPr>
          <w:rFonts w:eastAsia="Times New Roman" w:cs="Arial"/>
        </w:rPr>
      </w:pPr>
    </w:p>
    <w:p w14:paraId="781B492D" w14:textId="3D2515DE" w:rsidR="00820CF7" w:rsidRPr="00820CF7" w:rsidRDefault="00820CF7" w:rsidP="00157190">
      <w:pPr>
        <w:numPr>
          <w:ilvl w:val="2"/>
          <w:numId w:val="3"/>
        </w:numPr>
        <w:tabs>
          <w:tab w:val="left" w:pos="709"/>
        </w:tabs>
        <w:spacing w:after="0" w:line="240" w:lineRule="auto"/>
        <w:ind w:left="1701" w:hanging="709"/>
        <w:contextualSpacing/>
        <w:jc w:val="both"/>
        <w:rPr>
          <w:rFonts w:eastAsia="Times New Roman" w:cs="Arial"/>
        </w:rPr>
      </w:pPr>
      <w:r w:rsidRPr="00820CF7">
        <w:rPr>
          <w:rFonts w:eastAsia="Times New Roman" w:cs="Arial"/>
        </w:rPr>
        <w:t xml:space="preserve">L’incertitude-type </w:t>
      </w:r>
      <w:r w:rsidRPr="00820CF7">
        <w:rPr>
          <w:rFonts w:eastAsia="Times New Roman" w:cs="Arial"/>
          <w:i/>
        </w:rPr>
        <w:t>u</w:t>
      </w:r>
      <w:r w:rsidRPr="00820CF7">
        <w:rPr>
          <w:rFonts w:eastAsia="Times New Roman" w:cs="Arial"/>
        </w:rPr>
        <w:t>(</w:t>
      </w:r>
      <w:r w:rsidRPr="00820CF7">
        <w:rPr>
          <w:rFonts w:eastAsia="Times New Roman" w:cs="Arial"/>
          <w:i/>
          <w:iCs/>
        </w:rPr>
        <w:t>V</w:t>
      </w:r>
      <w:r w:rsidRPr="00820CF7">
        <w:rPr>
          <w:rFonts w:eastAsia="Times New Roman" w:cs="Arial"/>
          <w:vertAlign w:val="subscript"/>
        </w:rPr>
        <w:t>E</w:t>
      </w:r>
      <w:r w:rsidRPr="00820CF7">
        <w:rPr>
          <w:rFonts w:eastAsia="Times New Roman" w:cs="Arial"/>
        </w:rPr>
        <w:t xml:space="preserve">), de type A, sur cette série de mesures </w:t>
      </w:r>
      <w:proofErr w:type="gramStart"/>
      <w:r w:rsidRPr="00820CF7">
        <w:rPr>
          <w:rFonts w:eastAsia="Times New Roman" w:cs="Arial"/>
        </w:rPr>
        <w:t>est  égale</w:t>
      </w:r>
      <w:proofErr w:type="gramEnd"/>
      <w:r w:rsidRPr="00820CF7">
        <w:rPr>
          <w:rFonts w:eastAsia="Times New Roman" w:cs="Arial"/>
        </w:rPr>
        <w:t xml:space="preserve"> à 0,080</w:t>
      </w:r>
      <w:r w:rsidR="00157190">
        <w:rPr>
          <w:rFonts w:eastAsia="Times New Roman" w:cs="Arial"/>
        </w:rPr>
        <w:t> </w:t>
      </w:r>
      <w:r w:rsidRPr="00820CF7">
        <w:rPr>
          <w:rFonts w:eastAsia="Times New Roman" w:cs="Arial"/>
        </w:rPr>
        <w:t xml:space="preserve">mL. Écrire le résultat de la mesure pour </w:t>
      </w:r>
      <w:r w:rsidRPr="00820CF7">
        <w:rPr>
          <w:rFonts w:eastAsia="Times New Roman" w:cs="Arial"/>
          <w:i/>
          <w:iCs/>
        </w:rPr>
        <w:t>V</w:t>
      </w:r>
      <w:r w:rsidRPr="00820CF7">
        <w:rPr>
          <w:rFonts w:eastAsia="Times New Roman" w:cs="Arial"/>
          <w:vertAlign w:val="subscript"/>
        </w:rPr>
        <w:t>E</w:t>
      </w:r>
      <w:r w:rsidRPr="00820CF7">
        <w:rPr>
          <w:rFonts w:eastAsia="Times New Roman" w:cs="Arial"/>
        </w:rPr>
        <w:t>.</w:t>
      </w:r>
    </w:p>
    <w:p w14:paraId="49D33B88" w14:textId="77777777" w:rsidR="00820CF7" w:rsidRPr="00820CF7" w:rsidRDefault="00820CF7" w:rsidP="00157190">
      <w:pPr>
        <w:numPr>
          <w:ilvl w:val="2"/>
          <w:numId w:val="3"/>
        </w:numPr>
        <w:tabs>
          <w:tab w:val="left" w:pos="709"/>
        </w:tabs>
        <w:spacing w:after="0" w:line="240" w:lineRule="auto"/>
        <w:ind w:left="1701" w:hanging="709"/>
        <w:contextualSpacing/>
        <w:jc w:val="both"/>
        <w:rPr>
          <w:rFonts w:eastAsia="Times New Roman" w:cs="Arial"/>
        </w:rPr>
      </w:pPr>
      <w:r w:rsidRPr="00820CF7">
        <w:rPr>
          <w:rFonts w:eastAsia="Times New Roman" w:cs="Arial"/>
        </w:rPr>
        <w:t xml:space="preserve">Une autre méthode de détermination de l’incertitude-type sur le volume équivalent aurait pu être prise en compte. Préciser sa nature. </w:t>
      </w:r>
    </w:p>
    <w:p w14:paraId="479FB7BB" w14:textId="77777777" w:rsidR="00820CF7" w:rsidRPr="00820CF7" w:rsidRDefault="00820CF7" w:rsidP="00157190">
      <w:pPr>
        <w:numPr>
          <w:ilvl w:val="2"/>
          <w:numId w:val="3"/>
        </w:numPr>
        <w:tabs>
          <w:tab w:val="left" w:pos="709"/>
        </w:tabs>
        <w:spacing w:after="0" w:line="240" w:lineRule="auto"/>
        <w:ind w:left="1701" w:hanging="709"/>
        <w:contextualSpacing/>
        <w:jc w:val="both"/>
        <w:rPr>
          <w:rFonts w:eastAsia="Times New Roman" w:cs="Arial"/>
        </w:rPr>
      </w:pPr>
      <w:r w:rsidRPr="00820CF7">
        <w:rPr>
          <w:rFonts w:eastAsia="Times New Roman" w:cs="Arial"/>
        </w:rPr>
        <w:t xml:space="preserve">Déterminer la teneur en masse d’ions ferreux présente dans l’échantillon de 10,0 mL de solution </w:t>
      </w:r>
      <w:bookmarkStart w:id="0" w:name="_GoBack"/>
      <w:bookmarkEnd w:id="0"/>
      <w:r w:rsidRPr="00820CF7">
        <w:rPr>
          <w:rFonts w:eastAsia="Times New Roman" w:cs="Arial"/>
        </w:rPr>
        <w:t xml:space="preserve">titrée prélevé. </w:t>
      </w:r>
    </w:p>
    <w:p w14:paraId="55586D47" w14:textId="77777777" w:rsidR="00820CF7" w:rsidRPr="00820CF7" w:rsidRDefault="00820CF7" w:rsidP="00820CF7">
      <w:pPr>
        <w:tabs>
          <w:tab w:val="left" w:pos="709"/>
        </w:tabs>
        <w:spacing w:after="0" w:line="240" w:lineRule="auto"/>
        <w:ind w:left="1701"/>
        <w:contextualSpacing/>
        <w:rPr>
          <w:rFonts w:eastAsia="Times New Roman" w:cs="Arial"/>
        </w:rPr>
      </w:pPr>
    </w:p>
    <w:p w14:paraId="3C652FA9" w14:textId="77777777" w:rsidR="00820CF7" w:rsidRPr="00820CF7" w:rsidRDefault="00820CF7" w:rsidP="00157190">
      <w:pPr>
        <w:numPr>
          <w:ilvl w:val="1"/>
          <w:numId w:val="3"/>
        </w:numPr>
        <w:tabs>
          <w:tab w:val="clear" w:pos="716"/>
          <w:tab w:val="left" w:pos="709"/>
        </w:tabs>
        <w:spacing w:after="0" w:line="240" w:lineRule="auto"/>
        <w:ind w:left="568" w:hanging="426"/>
        <w:jc w:val="both"/>
        <w:rPr>
          <w:rFonts w:eastAsiaTheme="minorHAnsi" w:cs="Arial"/>
          <w:lang w:eastAsia="en-US"/>
        </w:rPr>
      </w:pPr>
      <w:r w:rsidRPr="00820CF7">
        <w:rPr>
          <w:rFonts w:eastAsiaTheme="minorHAnsi" w:cs="Arial"/>
          <w:lang w:eastAsia="en-US"/>
        </w:rPr>
        <w:t>Un titrage par spectrophotométrie peut-il être adapté au contrôle de la teneur en fer du produit phytosanitaire indiquée sur l’emballage ?</w:t>
      </w:r>
    </w:p>
    <w:sectPr w:rsidR="00820CF7" w:rsidRPr="00820CF7" w:rsidSect="00CF097D">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FD9F" w14:textId="77777777" w:rsidR="00654690" w:rsidRDefault="00654690" w:rsidP="0053612B">
      <w:pPr>
        <w:spacing w:after="0" w:line="240" w:lineRule="auto"/>
      </w:pPr>
      <w:r>
        <w:separator/>
      </w:r>
    </w:p>
  </w:endnote>
  <w:endnote w:type="continuationSeparator" w:id="0">
    <w:p w14:paraId="2C59CE3E" w14:textId="77777777" w:rsidR="00654690" w:rsidRDefault="0065469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9D02" w14:textId="77777777" w:rsidR="00654690" w:rsidRDefault="00654690" w:rsidP="0053612B">
      <w:pPr>
        <w:spacing w:after="0" w:line="240" w:lineRule="auto"/>
      </w:pPr>
      <w:r>
        <w:separator/>
      </w:r>
    </w:p>
  </w:footnote>
  <w:footnote w:type="continuationSeparator" w:id="0">
    <w:p w14:paraId="205C2D60" w14:textId="77777777" w:rsidR="00654690" w:rsidRDefault="00654690"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CC"/>
    <w:multiLevelType w:val="multilevel"/>
    <w:tmpl w:val="6FB02480"/>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7A7F94"/>
    <w:multiLevelType w:val="hybridMultilevel"/>
    <w:tmpl w:val="92729756"/>
    <w:lvl w:ilvl="0" w:tplc="32EA9D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51E02"/>
    <w:multiLevelType w:val="hybridMultilevel"/>
    <w:tmpl w:val="C30C3C98"/>
    <w:lvl w:ilvl="0" w:tplc="9BA6D0DA">
      <w:start w:val="1"/>
      <w:numFmt w:val="bullet"/>
      <w:lvlText w:val=""/>
      <w:lvlJc w:val="left"/>
      <w:pPr>
        <w:ind w:left="720" w:hanging="360"/>
      </w:pPr>
      <w:rPr>
        <w:rFonts w:ascii="Symbol" w:hAnsi="Symbo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E54A27"/>
    <w:multiLevelType w:val="hybridMultilevel"/>
    <w:tmpl w:val="A7D4D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8197C"/>
    <w:multiLevelType w:val="multilevel"/>
    <w:tmpl w:val="89482438"/>
    <w:lvl w:ilvl="0">
      <w:start w:val="1"/>
      <w:numFmt w:val="decimal"/>
      <w:lvlText w:val="%1."/>
      <w:lvlJc w:val="left"/>
      <w:pPr>
        <w:tabs>
          <w:tab w:val="num" w:pos="644"/>
        </w:tabs>
        <w:ind w:left="644" w:hanging="360"/>
      </w:pPr>
      <w:rPr>
        <w:rFonts w:ascii="Arial" w:hAnsi="Arial" w:cs="Arial" w:hint="default"/>
        <w:i w:val="0"/>
        <w:sz w:val="24"/>
        <w:szCs w:val="24"/>
      </w:rPr>
    </w:lvl>
    <w:lvl w:ilvl="1">
      <w:start w:val="1"/>
      <w:numFmt w:val="decimal"/>
      <w:lvlText w:val="%1.%2."/>
      <w:lvlJc w:val="left"/>
      <w:pPr>
        <w:tabs>
          <w:tab w:val="num" w:pos="716"/>
        </w:tabs>
        <w:ind w:left="716" w:hanging="432"/>
      </w:pPr>
      <w:rPr>
        <w:b/>
        <w:sz w:val="24"/>
        <w:szCs w:val="24"/>
      </w:rPr>
    </w:lvl>
    <w:lvl w:ilvl="2">
      <w:start w:val="1"/>
      <w:numFmt w:val="decimal"/>
      <w:lvlText w:val="%1.%2.%3."/>
      <w:lvlJc w:val="left"/>
      <w:pPr>
        <w:tabs>
          <w:tab w:val="num" w:pos="1922"/>
        </w:tabs>
        <w:ind w:left="1922"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5" w15:restartNumberingAfterBreak="0">
    <w:nsid w:val="3C2A68A6"/>
    <w:multiLevelType w:val="hybridMultilevel"/>
    <w:tmpl w:val="D0F2900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6" w15:restartNumberingAfterBreak="0">
    <w:nsid w:val="46587204"/>
    <w:multiLevelType w:val="hybridMultilevel"/>
    <w:tmpl w:val="ED184206"/>
    <w:lvl w:ilvl="0" w:tplc="CDBEB1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634C73"/>
    <w:multiLevelType w:val="hybridMultilevel"/>
    <w:tmpl w:val="B9208CC4"/>
    <w:lvl w:ilvl="0" w:tplc="B5A875B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7A66A1"/>
    <w:multiLevelType w:val="multilevel"/>
    <w:tmpl w:val="C1EAA78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C354BB"/>
    <w:multiLevelType w:val="hybridMultilevel"/>
    <w:tmpl w:val="CCC63F9C"/>
    <w:lvl w:ilvl="0" w:tplc="C0A03E0A">
      <w:start w:val="1"/>
      <w:numFmt w:val="decimal"/>
      <w:lvlText w:val="2.%1."/>
      <w:lvlJc w:val="left"/>
      <w:pPr>
        <w:ind w:left="360" w:hanging="360"/>
      </w:pPr>
      <w:rPr>
        <w:rFonts w:hint="default"/>
        <w:b/>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D9766EE"/>
    <w:multiLevelType w:val="multilevel"/>
    <w:tmpl w:val="F67A5D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9"/>
  </w:num>
  <w:num w:numId="8">
    <w:abstractNumId w:val="8"/>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21F90"/>
    <w:rsid w:val="00133B59"/>
    <w:rsid w:val="001424D6"/>
    <w:rsid w:val="001532D0"/>
    <w:rsid w:val="00157190"/>
    <w:rsid w:val="001718FD"/>
    <w:rsid w:val="0017563A"/>
    <w:rsid w:val="001771F9"/>
    <w:rsid w:val="00247F5C"/>
    <w:rsid w:val="0025498F"/>
    <w:rsid w:val="002A68A6"/>
    <w:rsid w:val="002B20A9"/>
    <w:rsid w:val="002E4943"/>
    <w:rsid w:val="003408B3"/>
    <w:rsid w:val="003D1776"/>
    <w:rsid w:val="004B41C6"/>
    <w:rsid w:val="004F13CF"/>
    <w:rsid w:val="005122FA"/>
    <w:rsid w:val="0053612B"/>
    <w:rsid w:val="00571B73"/>
    <w:rsid w:val="00582105"/>
    <w:rsid w:val="005822C2"/>
    <w:rsid w:val="0058798D"/>
    <w:rsid w:val="005964C0"/>
    <w:rsid w:val="005F583D"/>
    <w:rsid w:val="00626E0F"/>
    <w:rsid w:val="00634187"/>
    <w:rsid w:val="00643D11"/>
    <w:rsid w:val="00654690"/>
    <w:rsid w:val="00674424"/>
    <w:rsid w:val="0067731A"/>
    <w:rsid w:val="00680041"/>
    <w:rsid w:val="006A2305"/>
    <w:rsid w:val="006B1682"/>
    <w:rsid w:val="006E390A"/>
    <w:rsid w:val="007110B0"/>
    <w:rsid w:val="007275B1"/>
    <w:rsid w:val="0077193A"/>
    <w:rsid w:val="00772C44"/>
    <w:rsid w:val="007845EA"/>
    <w:rsid w:val="007A7764"/>
    <w:rsid w:val="007C35A8"/>
    <w:rsid w:val="00820CF7"/>
    <w:rsid w:val="00826640"/>
    <w:rsid w:val="00837873"/>
    <w:rsid w:val="0084040C"/>
    <w:rsid w:val="00857478"/>
    <w:rsid w:val="00860F2B"/>
    <w:rsid w:val="00875770"/>
    <w:rsid w:val="0089178E"/>
    <w:rsid w:val="00893F38"/>
    <w:rsid w:val="008E2217"/>
    <w:rsid w:val="008E5053"/>
    <w:rsid w:val="008F477F"/>
    <w:rsid w:val="008F72C8"/>
    <w:rsid w:val="00977ADB"/>
    <w:rsid w:val="009D1A0F"/>
    <w:rsid w:val="009D7A17"/>
    <w:rsid w:val="009E0FEA"/>
    <w:rsid w:val="00A30FA0"/>
    <w:rsid w:val="00A61AC9"/>
    <w:rsid w:val="00A76AD3"/>
    <w:rsid w:val="00AB4BAE"/>
    <w:rsid w:val="00AD38CA"/>
    <w:rsid w:val="00AF5BC9"/>
    <w:rsid w:val="00B01E20"/>
    <w:rsid w:val="00B13C1A"/>
    <w:rsid w:val="00B2660B"/>
    <w:rsid w:val="00B850C9"/>
    <w:rsid w:val="00B92318"/>
    <w:rsid w:val="00BD2CC4"/>
    <w:rsid w:val="00C17A52"/>
    <w:rsid w:val="00C33076"/>
    <w:rsid w:val="00C44650"/>
    <w:rsid w:val="00C67037"/>
    <w:rsid w:val="00C8311A"/>
    <w:rsid w:val="00CA5A3D"/>
    <w:rsid w:val="00CA5D1C"/>
    <w:rsid w:val="00CB5AF5"/>
    <w:rsid w:val="00CB6093"/>
    <w:rsid w:val="00CC0053"/>
    <w:rsid w:val="00CF097D"/>
    <w:rsid w:val="00D15825"/>
    <w:rsid w:val="00D545E4"/>
    <w:rsid w:val="00D62F47"/>
    <w:rsid w:val="00D760A4"/>
    <w:rsid w:val="00D97177"/>
    <w:rsid w:val="00E32F53"/>
    <w:rsid w:val="00E51C64"/>
    <w:rsid w:val="00E5600F"/>
    <w:rsid w:val="00E63874"/>
    <w:rsid w:val="00EA0C7A"/>
    <w:rsid w:val="00EE1F69"/>
    <w:rsid w:val="00EE5DA6"/>
    <w:rsid w:val="00EF0195"/>
    <w:rsid w:val="00F03BC8"/>
    <w:rsid w:val="00F06AF1"/>
    <w:rsid w:val="00F074C8"/>
    <w:rsid w:val="00F13990"/>
    <w:rsid w:val="00F43053"/>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5879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20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498F"/>
    <w:rPr>
      <w:color w:val="0000FF" w:themeColor="hyperlink"/>
      <w:u w:val="single"/>
    </w:rPr>
  </w:style>
  <w:style w:type="character" w:styleId="Mentionnonrsolue">
    <w:name w:val="Unresolved Mention"/>
    <w:basedOn w:val="Policepardfaut"/>
    <w:uiPriority w:val="99"/>
    <w:semiHidden/>
    <w:unhideWhenUsed/>
    <w:rsid w:val="0025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53145132624114"/>
          <c:y val="8.3734455412580192E-2"/>
          <c:w val="0.81971855854767472"/>
          <c:h val="0.73828841055838967"/>
        </c:manualLayout>
      </c:layout>
      <c:scatterChart>
        <c:scatterStyle val="smoothMarker"/>
        <c:varyColors val="0"/>
        <c:ser>
          <c:idx val="0"/>
          <c:order val="0"/>
          <c:tx>
            <c:strRef>
              <c:f>'Absorbance peroxo'!$B$1</c:f>
              <c:strCache>
                <c:ptCount val="1"/>
                <c:pt idx="0">
                  <c:v>A</c:v>
                </c:pt>
              </c:strCache>
            </c:strRef>
          </c:tx>
          <c:spPr>
            <a:ln w="12700">
              <a:solidFill>
                <a:schemeClr val="tx1"/>
              </a:solidFill>
            </a:ln>
          </c:spPr>
          <c:marker>
            <c:symbol val="none"/>
          </c:marker>
          <c:xVal>
            <c:numRef>
              <c:f>'Absorbance peroxo'!$A$2:$A$10</c:f>
              <c:numCache>
                <c:formatCode>General</c:formatCode>
                <c:ptCount val="9"/>
                <c:pt idx="0">
                  <c:v>400</c:v>
                </c:pt>
                <c:pt idx="1">
                  <c:v>450</c:v>
                </c:pt>
                <c:pt idx="2">
                  <c:v>500</c:v>
                </c:pt>
                <c:pt idx="3">
                  <c:v>550</c:v>
                </c:pt>
                <c:pt idx="4">
                  <c:v>600</c:v>
                </c:pt>
                <c:pt idx="5">
                  <c:v>650</c:v>
                </c:pt>
                <c:pt idx="6">
                  <c:v>700</c:v>
                </c:pt>
                <c:pt idx="7">
                  <c:v>750</c:v>
                </c:pt>
                <c:pt idx="8">
                  <c:v>800</c:v>
                </c:pt>
              </c:numCache>
            </c:numRef>
          </c:xVal>
          <c:yVal>
            <c:numRef>
              <c:f>'Absorbance peroxo'!$B$2:$B$10</c:f>
              <c:numCache>
                <c:formatCode>General</c:formatCode>
                <c:ptCount val="9"/>
                <c:pt idx="0">
                  <c:v>0.05</c:v>
                </c:pt>
                <c:pt idx="1">
                  <c:v>2.7E-2</c:v>
                </c:pt>
                <c:pt idx="2">
                  <c:v>3.1E-2</c:v>
                </c:pt>
                <c:pt idx="3">
                  <c:v>3.4000000000000002E-2</c:v>
                </c:pt>
                <c:pt idx="4">
                  <c:v>3.5999999999999997E-2</c:v>
                </c:pt>
                <c:pt idx="5">
                  <c:v>4.1000000000000002E-2</c:v>
                </c:pt>
                <c:pt idx="6">
                  <c:v>4.2999999999999997E-2</c:v>
                </c:pt>
                <c:pt idx="7">
                  <c:v>2.8000000000000001E-2</c:v>
                </c:pt>
                <c:pt idx="8">
                  <c:v>1.2E-2</c:v>
                </c:pt>
              </c:numCache>
            </c:numRef>
          </c:yVal>
          <c:smooth val="1"/>
          <c:extLst>
            <c:ext xmlns:c16="http://schemas.microsoft.com/office/drawing/2014/chart" uri="{C3380CC4-5D6E-409C-BE32-E72D297353CC}">
              <c16:uniqueId val="{00000000-93C8-40FE-AFE3-5C6B80C67F35}"/>
            </c:ext>
          </c:extLst>
        </c:ser>
        <c:dLbls>
          <c:showLegendKey val="0"/>
          <c:showVal val="0"/>
          <c:showCatName val="0"/>
          <c:showSerName val="0"/>
          <c:showPercent val="0"/>
          <c:showBubbleSize val="0"/>
        </c:dLbls>
        <c:axId val="73593600"/>
        <c:axId val="73595520"/>
      </c:scatterChart>
      <c:valAx>
        <c:axId val="73593600"/>
        <c:scaling>
          <c:orientation val="minMax"/>
          <c:max val="800"/>
          <c:min val="400"/>
        </c:scaling>
        <c:delete val="0"/>
        <c:axPos val="b"/>
        <c:title>
          <c:tx>
            <c:rich>
              <a:bodyPr/>
              <a:lstStyle/>
              <a:p>
                <a:pPr>
                  <a:defRPr/>
                </a:pPr>
                <a:r>
                  <a:rPr lang="fr-FR"/>
                  <a:t>Longueur</a:t>
                </a:r>
                <a:r>
                  <a:rPr lang="fr-FR" baseline="0"/>
                  <a:t> d'onde en nm</a:t>
                </a:r>
                <a:endParaRPr lang="fr-FR"/>
              </a:p>
            </c:rich>
          </c:tx>
          <c:layout>
            <c:manualLayout>
              <c:xMode val="edge"/>
              <c:yMode val="edge"/>
              <c:x val="0.34459659071289628"/>
              <c:y val="0.89646985616159669"/>
            </c:manualLayout>
          </c:layout>
          <c:overlay val="0"/>
        </c:title>
        <c:numFmt formatCode="General" sourceLinked="1"/>
        <c:majorTickMark val="out"/>
        <c:minorTickMark val="none"/>
        <c:tickLblPos val="nextTo"/>
        <c:crossAx val="73595520"/>
        <c:crosses val="autoZero"/>
        <c:crossBetween val="midCat"/>
        <c:majorUnit val="50"/>
      </c:valAx>
      <c:valAx>
        <c:axId val="73595520"/>
        <c:scaling>
          <c:orientation val="minMax"/>
          <c:max val="1.4"/>
          <c:min val="0"/>
        </c:scaling>
        <c:delete val="0"/>
        <c:axPos val="l"/>
        <c:majorGridlines/>
        <c:title>
          <c:tx>
            <c:rich>
              <a:bodyPr rot="-5400000" vert="horz"/>
              <a:lstStyle/>
              <a:p>
                <a:pPr>
                  <a:defRPr/>
                </a:pPr>
                <a:r>
                  <a:rPr lang="fr-FR"/>
                  <a:t>Abosorbance</a:t>
                </a:r>
              </a:p>
            </c:rich>
          </c:tx>
          <c:overlay val="0"/>
        </c:title>
        <c:numFmt formatCode="General" sourceLinked="1"/>
        <c:majorTickMark val="out"/>
        <c:minorTickMark val="none"/>
        <c:tickLblPos val="nextTo"/>
        <c:crossAx val="73593600"/>
        <c:crosses val="autoZero"/>
        <c:crossBetween val="midCat"/>
        <c:majorUnit val="0.2"/>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4480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2020-04-04T09:16:00Z</dcterms:created>
  <dcterms:modified xsi:type="dcterms:W3CDTF">2020-04-04T09:19:00Z</dcterms:modified>
</cp:coreProperties>
</file>