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4F721E" w:rsidRPr="004F721E" w14:paraId="039C410A" w14:textId="77777777" w:rsidTr="00D57427">
        <w:tc>
          <w:tcPr>
            <w:tcW w:w="10201" w:type="dxa"/>
          </w:tcPr>
          <w:p w14:paraId="7CDE9F90" w14:textId="77777777" w:rsidR="00577639" w:rsidRPr="004F721E" w:rsidRDefault="006F3FBC" w:rsidP="00D57427">
            <w:pPr>
              <w:jc w:val="center"/>
              <w:rPr>
                <w:rFonts w:eastAsia="Times New Roman" w:cs="Arial"/>
                <w:b/>
                <w:sz w:val="24"/>
                <w:szCs w:val="24"/>
              </w:rPr>
            </w:pPr>
            <w:hyperlink r:id="rId4" w:history="1">
              <w:r w:rsidR="00577639" w:rsidRPr="004F721E">
                <w:rPr>
                  <w:rStyle w:val="Lienhypertexte"/>
                  <w:rFonts w:eastAsia="Times New Roman" w:cs="Arial"/>
                  <w:b/>
                  <w:color w:val="auto"/>
                  <w:sz w:val="24"/>
                  <w:szCs w:val="24"/>
                </w:rPr>
                <w:t>http://labolycee.org</w:t>
              </w:r>
            </w:hyperlink>
            <w:r w:rsidR="00577639" w:rsidRPr="004F721E">
              <w:rPr>
                <w:rFonts w:eastAsia="Times New Roman" w:cs="Arial"/>
                <w:b/>
                <w:sz w:val="24"/>
                <w:szCs w:val="24"/>
              </w:rPr>
              <w:t xml:space="preserve"> ÉPREUVES COMMUNES DE CONTRÔLE CONTINU</w:t>
            </w:r>
          </w:p>
        </w:tc>
      </w:tr>
      <w:tr w:rsidR="004F721E" w:rsidRPr="004F721E" w14:paraId="4B7DCAF8" w14:textId="77777777" w:rsidTr="00D57427">
        <w:tc>
          <w:tcPr>
            <w:tcW w:w="10201" w:type="dxa"/>
          </w:tcPr>
          <w:p w14:paraId="1C77DB80" w14:textId="77777777" w:rsidR="00577639" w:rsidRPr="004F721E" w:rsidRDefault="00577639" w:rsidP="00D57427">
            <w:pPr>
              <w:rPr>
                <w:rFonts w:eastAsia="Times New Roman" w:cs="Arial"/>
                <w:b/>
                <w:sz w:val="24"/>
                <w:szCs w:val="24"/>
              </w:rPr>
            </w:pPr>
            <w:r w:rsidRPr="004F721E">
              <w:rPr>
                <w:rFonts w:eastAsia="Times New Roman" w:cs="Arial"/>
                <w:b/>
                <w:sz w:val="24"/>
                <w:szCs w:val="24"/>
              </w:rPr>
              <w:t>CLASSE :</w:t>
            </w:r>
            <w:r w:rsidRPr="004F721E">
              <w:rPr>
                <w:rFonts w:eastAsia="Times New Roman" w:cs="Arial"/>
                <w:sz w:val="24"/>
                <w:szCs w:val="24"/>
              </w:rPr>
              <w:t xml:space="preserve"> Première</w:t>
            </w:r>
            <w:r w:rsidRPr="004F721E">
              <w:rPr>
                <w:rFonts w:eastAsia="Times New Roman" w:cs="Arial"/>
                <w:sz w:val="24"/>
                <w:szCs w:val="24"/>
              </w:rPr>
              <w:tab/>
            </w:r>
            <w:r w:rsidRPr="004F721E">
              <w:rPr>
                <w:rFonts w:eastAsia="Times New Roman" w:cs="Arial"/>
                <w:sz w:val="24"/>
                <w:szCs w:val="24"/>
              </w:rPr>
              <w:tab/>
            </w:r>
            <w:r w:rsidRPr="004F721E">
              <w:rPr>
                <w:rFonts w:eastAsia="Times New Roman" w:cs="Arial"/>
                <w:sz w:val="24"/>
                <w:szCs w:val="24"/>
              </w:rPr>
              <w:tab/>
            </w:r>
            <w:r w:rsidRPr="004F721E">
              <w:rPr>
                <w:rFonts w:eastAsia="Times New Roman" w:cs="Arial"/>
                <w:b/>
                <w:sz w:val="24"/>
                <w:szCs w:val="24"/>
              </w:rPr>
              <w:t xml:space="preserve">E3C : </w:t>
            </w:r>
            <w:sdt>
              <w:sdtPr>
                <w:rPr>
                  <w:rFonts w:cs="Arial"/>
                  <w:szCs w:val="24"/>
                </w:rPr>
                <w:id w:val="1990283991"/>
                <w14:checkbox>
                  <w14:checked w14:val="0"/>
                  <w14:checkedState w14:val="2612" w14:font="MS Gothic"/>
                  <w14:uncheckedState w14:val="2610" w14:font="MS Gothic"/>
                </w14:checkbox>
              </w:sdtPr>
              <w:sdtEndPr/>
              <w:sdtContent>
                <w:r w:rsidRPr="004F721E">
                  <w:rPr>
                    <w:rFonts w:ascii="Segoe UI Symbol" w:eastAsia="MS Gothic" w:hAnsi="Segoe UI Symbol" w:cs="Segoe UI Symbol"/>
                    <w:sz w:val="24"/>
                    <w:szCs w:val="24"/>
                  </w:rPr>
                  <w:t>☐</w:t>
                </w:r>
              </w:sdtContent>
            </w:sdt>
            <w:r w:rsidRPr="004F721E">
              <w:rPr>
                <w:rFonts w:eastAsia="Times New Roman" w:cs="Arial"/>
                <w:sz w:val="24"/>
                <w:szCs w:val="24"/>
              </w:rPr>
              <w:t xml:space="preserve"> E3C1 </w:t>
            </w:r>
            <w:sdt>
              <w:sdtPr>
                <w:rPr>
                  <w:rFonts w:cs="Arial"/>
                  <w:szCs w:val="24"/>
                </w:rPr>
                <w:id w:val="1774132376"/>
                <w14:checkbox>
                  <w14:checked w14:val="1"/>
                  <w14:checkedState w14:val="2612" w14:font="MS Gothic"/>
                  <w14:uncheckedState w14:val="2610" w14:font="MS Gothic"/>
                </w14:checkbox>
              </w:sdtPr>
              <w:sdtEndPr/>
              <w:sdtContent>
                <w:r w:rsidRPr="004F721E">
                  <w:rPr>
                    <w:rFonts w:ascii="Segoe UI Symbol" w:eastAsia="MS Gothic" w:hAnsi="Segoe UI Symbol" w:cs="Segoe UI Symbol"/>
                    <w:sz w:val="24"/>
                    <w:szCs w:val="24"/>
                  </w:rPr>
                  <w:t>☒</w:t>
                </w:r>
              </w:sdtContent>
            </w:sdt>
            <w:r w:rsidRPr="004F721E">
              <w:rPr>
                <w:rFonts w:eastAsia="Times New Roman" w:cs="Arial"/>
                <w:sz w:val="24"/>
                <w:szCs w:val="24"/>
              </w:rPr>
              <w:t xml:space="preserve"> E3C2 </w:t>
            </w:r>
            <w:sdt>
              <w:sdtPr>
                <w:rPr>
                  <w:rFonts w:cs="Arial"/>
                  <w:szCs w:val="24"/>
                </w:rPr>
                <w:id w:val="1252311351"/>
                <w14:checkbox>
                  <w14:checked w14:val="0"/>
                  <w14:checkedState w14:val="2612" w14:font="MS Gothic"/>
                  <w14:uncheckedState w14:val="2610" w14:font="MS Gothic"/>
                </w14:checkbox>
              </w:sdtPr>
              <w:sdtEndPr/>
              <w:sdtContent>
                <w:r w:rsidRPr="004F721E">
                  <w:rPr>
                    <w:rFonts w:ascii="Segoe UI Symbol" w:eastAsia="MS Gothic" w:hAnsi="Segoe UI Symbol" w:cs="Segoe UI Symbol"/>
                    <w:sz w:val="24"/>
                    <w:szCs w:val="24"/>
                  </w:rPr>
                  <w:t>☐</w:t>
                </w:r>
              </w:sdtContent>
            </w:sdt>
            <w:r w:rsidRPr="004F721E">
              <w:rPr>
                <w:rFonts w:eastAsia="Times New Roman" w:cs="Arial"/>
                <w:sz w:val="24"/>
                <w:szCs w:val="24"/>
              </w:rPr>
              <w:t xml:space="preserve"> E3C3</w:t>
            </w:r>
          </w:p>
          <w:p w14:paraId="3D2C8030" w14:textId="77777777" w:rsidR="00577639" w:rsidRPr="004F721E" w:rsidRDefault="00577639" w:rsidP="00D57427">
            <w:pPr>
              <w:rPr>
                <w:rFonts w:eastAsia="Times New Roman" w:cs="Arial"/>
                <w:b/>
                <w:sz w:val="24"/>
                <w:szCs w:val="24"/>
              </w:rPr>
            </w:pPr>
            <w:r w:rsidRPr="004F721E">
              <w:rPr>
                <w:rFonts w:eastAsia="Times New Roman" w:cs="Arial"/>
                <w:b/>
                <w:sz w:val="24"/>
                <w:szCs w:val="24"/>
              </w:rPr>
              <w:t>VOIE :</w:t>
            </w:r>
            <w:r w:rsidRPr="004F721E">
              <w:rPr>
                <w:rFonts w:eastAsia="Times New Roman" w:cs="Arial"/>
                <w:sz w:val="24"/>
                <w:szCs w:val="24"/>
              </w:rPr>
              <w:t xml:space="preserve"> </w:t>
            </w:r>
            <w:sdt>
              <w:sdtPr>
                <w:rPr>
                  <w:rFonts w:cs="Arial"/>
                  <w:szCs w:val="24"/>
                </w:rPr>
                <w:id w:val="1896242340"/>
                <w14:checkbox>
                  <w14:checked w14:val="1"/>
                  <w14:checkedState w14:val="2612" w14:font="MS Gothic"/>
                  <w14:uncheckedState w14:val="2610" w14:font="MS Gothic"/>
                </w14:checkbox>
              </w:sdtPr>
              <w:sdtEndPr/>
              <w:sdtContent>
                <w:r w:rsidRPr="004F721E">
                  <w:rPr>
                    <w:rFonts w:ascii="Segoe UI Symbol" w:eastAsia="MS Gothic" w:hAnsi="Segoe UI Symbol" w:cs="Segoe UI Symbol"/>
                    <w:sz w:val="24"/>
                    <w:szCs w:val="24"/>
                  </w:rPr>
                  <w:t>☒</w:t>
                </w:r>
              </w:sdtContent>
            </w:sdt>
            <w:r w:rsidRPr="004F721E">
              <w:rPr>
                <w:rFonts w:eastAsia="Times New Roman" w:cs="Arial"/>
                <w:sz w:val="24"/>
                <w:szCs w:val="24"/>
              </w:rPr>
              <w:t xml:space="preserve"> Générale </w:t>
            </w:r>
            <w:r w:rsidRPr="004F721E">
              <w:rPr>
                <w:rFonts w:eastAsia="Times New Roman" w:cs="Arial"/>
                <w:sz w:val="24"/>
                <w:szCs w:val="24"/>
              </w:rPr>
              <w:tab/>
            </w:r>
            <w:r w:rsidRPr="004F721E">
              <w:rPr>
                <w:rFonts w:eastAsia="Times New Roman" w:cs="Arial"/>
                <w:sz w:val="24"/>
                <w:szCs w:val="24"/>
              </w:rPr>
              <w:tab/>
            </w:r>
            <w:r w:rsidRPr="004F721E">
              <w:rPr>
                <w:rFonts w:eastAsia="Times New Roman" w:cs="Arial"/>
                <w:sz w:val="24"/>
                <w:szCs w:val="24"/>
              </w:rPr>
              <w:tab/>
            </w:r>
            <w:r w:rsidRPr="004F721E">
              <w:rPr>
                <w:rFonts w:eastAsia="Times New Roman" w:cs="Arial"/>
                <w:b/>
                <w:sz w:val="24"/>
                <w:szCs w:val="24"/>
              </w:rPr>
              <w:t>ENSEIGNEMENT : Enseignement scientifique</w:t>
            </w:r>
          </w:p>
          <w:p w14:paraId="6F3E7E3D" w14:textId="77777777" w:rsidR="00577639" w:rsidRPr="004F721E" w:rsidRDefault="00577639" w:rsidP="00D57427">
            <w:pPr>
              <w:rPr>
                <w:rFonts w:eastAsia="Times New Roman" w:cs="Arial"/>
                <w:sz w:val="24"/>
                <w:szCs w:val="24"/>
              </w:rPr>
            </w:pPr>
            <w:r w:rsidRPr="004F721E">
              <w:rPr>
                <w:rFonts w:eastAsia="Times New Roman" w:cs="Arial"/>
                <w:b/>
                <w:sz w:val="24"/>
                <w:szCs w:val="24"/>
              </w:rPr>
              <w:t>DURÉE DE L’ÉPREUVE :</w:t>
            </w:r>
            <w:r w:rsidRPr="004F721E">
              <w:rPr>
                <w:rFonts w:eastAsia="Times New Roman" w:cs="Arial"/>
                <w:sz w:val="24"/>
                <w:szCs w:val="24"/>
              </w:rPr>
              <w:t xml:space="preserve"> 1h</w:t>
            </w:r>
          </w:p>
        </w:tc>
      </w:tr>
    </w:tbl>
    <w:p w14:paraId="1B2DE42C" w14:textId="6AA14E35" w:rsidR="00CA0DF4" w:rsidRPr="004F721E" w:rsidRDefault="00CA0DF4" w:rsidP="004061CB">
      <w:pPr>
        <w:rPr>
          <w:rFonts w:cs="Arial"/>
          <w:szCs w:val="24"/>
        </w:rPr>
      </w:pPr>
    </w:p>
    <w:p w14:paraId="0D889304" w14:textId="77777777" w:rsidR="004F721E" w:rsidRPr="004F721E" w:rsidRDefault="004F721E" w:rsidP="004F721E">
      <w:pPr>
        <w:spacing w:line="276" w:lineRule="auto"/>
        <w:jc w:val="center"/>
        <w:rPr>
          <w:rFonts w:cs="Arial"/>
          <w:shd w:val="clear" w:color="auto" w:fill="FFFFFF"/>
        </w:rPr>
      </w:pPr>
      <w:r w:rsidRPr="004F721E">
        <w:rPr>
          <w:rFonts w:cs="Arial"/>
          <w:shd w:val="clear" w:color="auto" w:fill="FFFFFF"/>
        </w:rPr>
        <w:t>L’ÉNERGIE LUMINEUSE ET SON UTILISATION PAR LES ALGUES</w:t>
      </w:r>
    </w:p>
    <w:p w14:paraId="0CD58331" w14:textId="77777777" w:rsidR="004F721E" w:rsidRPr="004F721E" w:rsidRDefault="004F721E" w:rsidP="00550F1D">
      <w:pPr>
        <w:spacing w:line="276" w:lineRule="auto"/>
        <w:jc w:val="both"/>
        <w:rPr>
          <w:rFonts w:cs="Arial"/>
          <w:shd w:val="clear" w:color="auto" w:fill="FFFFFF"/>
        </w:rPr>
      </w:pPr>
      <w:r w:rsidRPr="004F721E">
        <w:rPr>
          <w:rFonts w:cs="Arial"/>
          <w:shd w:val="clear" w:color="auto" w:fill="FFFFFF"/>
        </w:rPr>
        <w:t>Les algues sont des organismes chlorophylliens photosynthétiques. Les documents proposés permettent de comprendre les caractéristiques du rayonnement solaire et son utilisation par les différentes algues de zones côtières.</w:t>
      </w:r>
    </w:p>
    <w:p w14:paraId="7616B3BB" w14:textId="77777777" w:rsidR="004F721E" w:rsidRPr="004F721E" w:rsidRDefault="004F721E" w:rsidP="004F721E">
      <w:pPr>
        <w:spacing w:line="276" w:lineRule="auto"/>
        <w:rPr>
          <w:rFonts w:cs="Arial"/>
          <w:shd w:val="clear" w:color="auto" w:fill="FFFFFF"/>
        </w:rPr>
      </w:pPr>
      <w:r w:rsidRPr="004F721E">
        <w:rPr>
          <w:rFonts w:cs="Arial"/>
          <w:shd w:val="clear" w:color="auto" w:fill="FFFFFF"/>
        </w:rPr>
        <w:t>Les 2 parties peuvent être traitées de façon indépendante.</w:t>
      </w:r>
    </w:p>
    <w:p w14:paraId="5FFA1155" w14:textId="77777777" w:rsidR="004F721E" w:rsidRPr="004F721E" w:rsidRDefault="004F721E" w:rsidP="004F721E">
      <w:pPr>
        <w:spacing w:line="276" w:lineRule="auto"/>
        <w:rPr>
          <w:rFonts w:cs="Arial"/>
          <w:shd w:val="clear" w:color="auto" w:fill="FFFFFF"/>
        </w:rPr>
      </w:pPr>
    </w:p>
    <w:p w14:paraId="1777C239" w14:textId="77777777" w:rsidR="004F721E" w:rsidRPr="004F721E" w:rsidRDefault="004F721E" w:rsidP="004F721E">
      <w:pPr>
        <w:spacing w:line="276" w:lineRule="auto"/>
        <w:rPr>
          <w:rFonts w:cs="Arial"/>
          <w:highlight w:val="white"/>
          <w:u w:val="single"/>
        </w:rPr>
      </w:pPr>
      <w:r w:rsidRPr="004F721E">
        <w:rPr>
          <w:rFonts w:cs="Arial"/>
          <w:u w:val="single"/>
          <w:shd w:val="clear" w:color="auto" w:fill="FFFFFF"/>
        </w:rPr>
        <w:t>Partie 1. Les caractéristiques du rayonnement solaire extraterrestre et terrestre</w:t>
      </w:r>
    </w:p>
    <w:tbl>
      <w:tblPr>
        <w:tblStyle w:val="Grilledutableau"/>
        <w:tblW w:w="0" w:type="auto"/>
        <w:tblLook w:val="04A0" w:firstRow="1" w:lastRow="0" w:firstColumn="1" w:lastColumn="0" w:noHBand="0" w:noVBand="1"/>
      </w:tblPr>
      <w:tblGrid>
        <w:gridCol w:w="10201"/>
      </w:tblGrid>
      <w:tr w:rsidR="004F721E" w:rsidRPr="004F721E" w14:paraId="2F23CA88" w14:textId="77777777" w:rsidTr="00550F1D">
        <w:tc>
          <w:tcPr>
            <w:tcW w:w="10201" w:type="dxa"/>
            <w:tcBorders>
              <w:bottom w:val="nil"/>
            </w:tcBorders>
          </w:tcPr>
          <w:p w14:paraId="6862BE1A" w14:textId="77777777" w:rsidR="004F721E" w:rsidRPr="004F721E" w:rsidRDefault="004F721E" w:rsidP="00CC4E98">
            <w:pPr>
              <w:pStyle w:val="Contenudetableau"/>
              <w:spacing w:line="276" w:lineRule="auto"/>
              <w:rPr>
                <w:rFonts w:ascii="Arial" w:hAnsi="Arial" w:cs="Arial"/>
                <w:bCs/>
                <w:sz w:val="24"/>
                <w:u w:val="single"/>
              </w:rPr>
            </w:pPr>
            <w:r w:rsidRPr="004F721E">
              <w:rPr>
                <w:rFonts w:ascii="Arial" w:hAnsi="Arial" w:cs="Arial"/>
                <w:bCs/>
                <w:sz w:val="24"/>
                <w:u w:val="single"/>
              </w:rPr>
              <w:t>Document 1. Le spectre solaire</w:t>
            </w:r>
          </w:p>
        </w:tc>
      </w:tr>
      <w:tr w:rsidR="004F721E" w:rsidRPr="004F721E" w14:paraId="220A0C39" w14:textId="77777777" w:rsidTr="00550F1D">
        <w:tc>
          <w:tcPr>
            <w:tcW w:w="10201" w:type="dxa"/>
            <w:tcBorders>
              <w:top w:val="nil"/>
            </w:tcBorders>
          </w:tcPr>
          <w:p w14:paraId="0B1D8A24" w14:textId="77777777" w:rsidR="004F721E" w:rsidRPr="00550F1D" w:rsidRDefault="004F721E" w:rsidP="00550F1D">
            <w:pPr>
              <w:jc w:val="both"/>
              <w:rPr>
                <w:rFonts w:cs="Arial"/>
                <w:bCs/>
                <w:sz w:val="24"/>
                <w:szCs w:val="24"/>
              </w:rPr>
            </w:pPr>
            <w:r w:rsidRPr="00550F1D">
              <w:rPr>
                <w:rFonts w:cs="Arial"/>
                <w:bCs/>
                <w:sz w:val="24"/>
                <w:szCs w:val="24"/>
              </w:rPr>
              <w:t xml:space="preserve">Le spectre solaire représente les variations de l’intensité </w:t>
            </w:r>
            <w:r w:rsidRPr="00550F1D">
              <w:rPr>
                <w:rFonts w:eastAsia="SimSun" w:cs="Arial"/>
                <w:bCs/>
                <w:sz w:val="24"/>
                <w:szCs w:val="24"/>
                <w:lang w:eastAsia="zh-CN" w:bidi="hi-IN"/>
              </w:rPr>
              <w:t>lumineuse</w:t>
            </w:r>
            <w:r w:rsidRPr="00550F1D">
              <w:rPr>
                <w:rFonts w:cs="Arial"/>
                <w:bCs/>
                <w:sz w:val="24"/>
                <w:szCs w:val="24"/>
              </w:rPr>
              <w:t xml:space="preserve"> de la lumière solaire (par unité de longueur d’onde) </w:t>
            </w:r>
            <w:r w:rsidRPr="00550F1D">
              <w:rPr>
                <w:rFonts w:eastAsia="SimSun" w:cs="Arial"/>
                <w:bCs/>
                <w:sz w:val="24"/>
                <w:szCs w:val="24"/>
                <w:lang w:eastAsia="zh-CN" w:bidi="hi-IN"/>
              </w:rPr>
              <w:t xml:space="preserve">en fonction de la longueur d’onde. </w:t>
            </w:r>
            <w:r w:rsidRPr="00550F1D">
              <w:rPr>
                <w:rFonts w:cs="Arial"/>
                <w:bCs/>
                <w:sz w:val="24"/>
                <w:szCs w:val="24"/>
              </w:rPr>
              <w:t>Il peut être obtenu en dehors de l’atmosphère terrestre (courbe « rayonnement hors atmosphère ») ou à la surface de la Terre (courbe « rayonnement solaire terrestre »).</w:t>
            </w:r>
          </w:p>
          <w:p w14:paraId="07494C8A" w14:textId="77777777" w:rsidR="004F721E" w:rsidRPr="004F721E" w:rsidRDefault="004F721E" w:rsidP="00CC4E98">
            <w:pPr>
              <w:jc w:val="center"/>
              <w:rPr>
                <w:rFonts w:cs="Arial"/>
                <w:b/>
                <w:bCs/>
              </w:rPr>
            </w:pPr>
            <w:r w:rsidRPr="004F721E">
              <w:rPr>
                <w:rFonts w:cs="Arial"/>
                <w:b/>
                <w:bCs/>
                <w:noProof/>
              </w:rPr>
              <w:drawing>
                <wp:inline distT="0" distB="0" distL="0" distR="0" wp14:anchorId="4C5F3530" wp14:editId="7B884860">
                  <wp:extent cx="5506218" cy="339137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s titre 1.png"/>
                          <pic:cNvPicPr/>
                        </pic:nvPicPr>
                        <pic:blipFill>
                          <a:blip r:embed="rId5">
                            <a:extLst>
                              <a:ext uri="{28A0092B-C50C-407E-A947-70E740481C1C}">
                                <a14:useLocalDpi xmlns:a14="http://schemas.microsoft.com/office/drawing/2010/main" val="0"/>
                              </a:ext>
                            </a:extLst>
                          </a:blip>
                          <a:stretch>
                            <a:fillRect/>
                          </a:stretch>
                        </pic:blipFill>
                        <pic:spPr>
                          <a:xfrm>
                            <a:off x="0" y="0"/>
                            <a:ext cx="5506218" cy="3391373"/>
                          </a:xfrm>
                          <a:prstGeom prst="rect">
                            <a:avLst/>
                          </a:prstGeom>
                        </pic:spPr>
                      </pic:pic>
                    </a:graphicData>
                  </a:graphic>
                </wp:inline>
              </w:drawing>
            </w:r>
          </w:p>
        </w:tc>
      </w:tr>
    </w:tbl>
    <w:p w14:paraId="7683A21F" w14:textId="77777777" w:rsidR="004F721E" w:rsidRPr="004F721E" w:rsidRDefault="004F721E" w:rsidP="00550F1D"/>
    <w:p w14:paraId="32EF810A" w14:textId="77777777" w:rsidR="004F721E" w:rsidRPr="004F721E" w:rsidRDefault="004F721E" w:rsidP="00550F1D">
      <w:pPr>
        <w:jc w:val="both"/>
      </w:pPr>
      <w:r w:rsidRPr="004F721E">
        <w:t xml:space="preserve">La loi de Wien caractérise le lien entre la température de surface d’un corps noir et la longueur d’onde d’émission maximale de ce corps par la relation : </w:t>
      </w:r>
    </w:p>
    <w:p w14:paraId="29362730" w14:textId="275E8998" w:rsidR="004F721E" w:rsidRPr="004F721E" w:rsidRDefault="004F721E" w:rsidP="00C56FAE">
      <w:pPr>
        <w:jc w:val="center"/>
      </w:pPr>
      <w:r w:rsidRPr="004F721E">
        <w:rPr>
          <w:rFonts w:ascii="Symbol" w:hAnsi="Symbol"/>
        </w:rPr>
        <w:t></w:t>
      </w:r>
      <w:r w:rsidRPr="004F721E">
        <w:rPr>
          <w:vertAlign w:val="subscript"/>
        </w:rPr>
        <w:t>max</w:t>
      </w:r>
      <w:r w:rsidRPr="004F721E">
        <w:t xml:space="preserve"> x </w:t>
      </w:r>
      <w:r w:rsidRPr="004F721E">
        <w:rPr>
          <w:i/>
          <w:iCs/>
        </w:rPr>
        <w:t>T</w:t>
      </w:r>
      <w:r w:rsidRPr="004F721E">
        <w:t xml:space="preserve"> = 2,898.10</w:t>
      </w:r>
      <w:r w:rsidRPr="004F721E">
        <w:rPr>
          <w:vertAlign w:val="superscript"/>
        </w:rPr>
        <w:t>-3</w:t>
      </w:r>
      <w:r w:rsidRPr="004F721E">
        <w:t xml:space="preserve"> (avec </w:t>
      </w:r>
      <w:r w:rsidRPr="004F721E">
        <w:rPr>
          <w:rFonts w:ascii="Symbol" w:hAnsi="Symbol"/>
        </w:rPr>
        <w:t></w:t>
      </w:r>
      <w:r w:rsidRPr="004F721E">
        <w:rPr>
          <w:vertAlign w:val="subscript"/>
        </w:rPr>
        <w:t>max</w:t>
      </w:r>
      <w:r w:rsidRPr="004F721E">
        <w:t xml:space="preserve"> en m et </w:t>
      </w:r>
      <w:r w:rsidRPr="004F721E">
        <w:rPr>
          <w:i/>
          <w:iCs/>
        </w:rPr>
        <w:t xml:space="preserve">T </w:t>
      </w:r>
      <w:r w:rsidRPr="004F721E">
        <w:t>en K).</w:t>
      </w:r>
    </w:p>
    <w:p w14:paraId="1D8A2C04" w14:textId="77777777" w:rsidR="004F721E" w:rsidRPr="004F721E" w:rsidRDefault="004F721E" w:rsidP="00550F1D"/>
    <w:p w14:paraId="58C7452E" w14:textId="77777777" w:rsidR="004F721E" w:rsidRPr="004F721E" w:rsidRDefault="004F721E" w:rsidP="00C56FAE">
      <w:pPr>
        <w:jc w:val="both"/>
      </w:pPr>
      <w:r w:rsidRPr="004F721E">
        <w:t xml:space="preserve">On rappelle que l'échelle des températures Celsius est, par définition, la température absolue décalée en origine de 273 K : </w:t>
      </w:r>
      <w:r w:rsidRPr="004F721E">
        <w:rPr>
          <w:i/>
          <w:iCs/>
        </w:rPr>
        <w:t>T</w:t>
      </w:r>
      <w:r w:rsidRPr="004F721E">
        <w:t xml:space="preserve"> = θ+ 273 avec </w:t>
      </w:r>
      <w:r w:rsidRPr="004F721E">
        <w:rPr>
          <w:i/>
          <w:iCs/>
        </w:rPr>
        <w:t xml:space="preserve">T </w:t>
      </w:r>
      <w:r w:rsidRPr="004F721E">
        <w:t>la température en kelvin et θ la température en degré Celsius.</w:t>
      </w:r>
    </w:p>
    <w:p w14:paraId="6FB5EA99" w14:textId="77777777" w:rsidR="004F721E" w:rsidRPr="004F721E" w:rsidRDefault="004F721E" w:rsidP="00550F1D"/>
    <w:p w14:paraId="30F5D736" w14:textId="77777777" w:rsidR="004F721E" w:rsidRPr="004F721E" w:rsidRDefault="004F721E" w:rsidP="00C56FAE">
      <w:pPr>
        <w:jc w:val="both"/>
      </w:pPr>
      <w:r w:rsidRPr="004F721E">
        <w:rPr>
          <w:b/>
        </w:rPr>
        <w:t>1-</w:t>
      </w:r>
      <w:r w:rsidRPr="004F721E">
        <w:t xml:space="preserve"> Estimer graphiquement la longueur d’onde au maximum d’émission du rayonnement solaire hors atmosphère.</w:t>
      </w:r>
    </w:p>
    <w:p w14:paraId="624DEE2F" w14:textId="77777777" w:rsidR="004F721E" w:rsidRPr="004F721E" w:rsidRDefault="004F721E" w:rsidP="00550F1D"/>
    <w:p w14:paraId="62B76A6C" w14:textId="77777777" w:rsidR="004F721E" w:rsidRPr="004F721E" w:rsidRDefault="004F721E" w:rsidP="00C56FAE">
      <w:pPr>
        <w:jc w:val="both"/>
      </w:pPr>
      <w:r w:rsidRPr="004F721E">
        <w:rPr>
          <w:b/>
        </w:rPr>
        <w:t>2-</w:t>
      </w:r>
      <w:r w:rsidRPr="004F721E">
        <w:t xml:space="preserve"> On considère le Soleil comme un corps noir dont la température de surface est estimée à 5620 °C. Calculer la longueur d’onde d’émission maximale du solaire. </w:t>
      </w:r>
    </w:p>
    <w:p w14:paraId="317A99E9" w14:textId="77777777" w:rsidR="004F721E" w:rsidRPr="004F721E" w:rsidRDefault="004F721E" w:rsidP="00550F1D"/>
    <w:p w14:paraId="5E12310B" w14:textId="7AF0602A" w:rsidR="00C56FAE" w:rsidRDefault="004F721E" w:rsidP="00C56FAE">
      <w:pPr>
        <w:jc w:val="both"/>
      </w:pPr>
      <w:r w:rsidRPr="004F721E">
        <w:rPr>
          <w:b/>
        </w:rPr>
        <w:t>3-</w:t>
      </w:r>
      <w:r w:rsidRPr="004F721E">
        <w:t xml:space="preserve"> Expliquer la différence d’intensité observée entre les courbes « rayonnement solaire hors atmosphère » et « rayonnement solaire terrestre » du document 1. </w:t>
      </w:r>
      <w:r w:rsidR="00C56FAE">
        <w:br w:type="page"/>
      </w:r>
    </w:p>
    <w:p w14:paraId="02F26913" w14:textId="77777777" w:rsidR="004F721E" w:rsidRPr="004F721E" w:rsidRDefault="004F721E" w:rsidP="00550F1D">
      <w:pPr>
        <w:rPr>
          <w:u w:val="single"/>
          <w:shd w:val="clear" w:color="auto" w:fill="FFFFFF"/>
        </w:rPr>
      </w:pPr>
      <w:r w:rsidRPr="004F721E">
        <w:rPr>
          <w:u w:val="single"/>
          <w:shd w:val="clear" w:color="auto" w:fill="FFFFFF"/>
        </w:rPr>
        <w:lastRenderedPageBreak/>
        <w:t>Partie 2. L’utilisation du rayonnement solaire par les algues dans les zones côtières</w:t>
      </w:r>
    </w:p>
    <w:p w14:paraId="28B5ABAF" w14:textId="77777777" w:rsidR="004F721E" w:rsidRPr="004F721E" w:rsidRDefault="004F721E" w:rsidP="00307148">
      <w:pPr>
        <w:jc w:val="both"/>
        <w:rPr>
          <w:shd w:val="clear" w:color="auto" w:fill="FFFFFF"/>
        </w:rPr>
      </w:pPr>
      <w:r w:rsidRPr="004F721E">
        <w:rPr>
          <w:shd w:val="clear" w:color="auto" w:fill="FFFFFF"/>
        </w:rPr>
        <w:t>Dans les zones côtières, les grands groupes d’algues ont une répartition préférentielle selon la profondeur. On se propose d’expliquer cette répartition des algues en lien avec leur utilisation de l’énergie solaire.</w:t>
      </w:r>
    </w:p>
    <w:p w14:paraId="5C8831BD" w14:textId="77777777" w:rsidR="004F721E" w:rsidRPr="004F721E" w:rsidRDefault="004F721E" w:rsidP="00550F1D">
      <w:pPr>
        <w:rPr>
          <w:highlight w:val="white"/>
        </w:rPr>
      </w:pPr>
    </w:p>
    <w:p w14:paraId="6FE91658" w14:textId="4ABF99F2" w:rsidR="004F721E" w:rsidRPr="004F721E" w:rsidRDefault="004F721E" w:rsidP="00307148">
      <w:pPr>
        <w:jc w:val="both"/>
      </w:pPr>
      <w:r w:rsidRPr="004F721E">
        <w:rPr>
          <w:b/>
        </w:rPr>
        <w:t>4-</w:t>
      </w:r>
      <w:r w:rsidRPr="004F721E">
        <w:t xml:space="preserve"> À partir de l’exploitation des documents 2 et 3 et de vos connaissances, expliquer la capacité des algues rouges à vivre à une plus grande profondeur. </w:t>
      </w:r>
    </w:p>
    <w:p w14:paraId="5C0B2361" w14:textId="77777777" w:rsidR="004F721E" w:rsidRPr="004F721E" w:rsidRDefault="004F721E" w:rsidP="00550F1D">
      <w:r w:rsidRPr="004F721E">
        <w:t>Votre réponse structurée ne dépassera pas une page.</w:t>
      </w:r>
    </w:p>
    <w:tbl>
      <w:tblPr>
        <w:tblStyle w:val="Grilledutableau"/>
        <w:tblW w:w="10343" w:type="dxa"/>
        <w:tblLook w:val="04A0" w:firstRow="1" w:lastRow="0" w:firstColumn="1" w:lastColumn="0" w:noHBand="0" w:noVBand="1"/>
      </w:tblPr>
      <w:tblGrid>
        <w:gridCol w:w="10343"/>
      </w:tblGrid>
      <w:tr w:rsidR="004F721E" w:rsidRPr="004F721E" w14:paraId="3E5E063E" w14:textId="77777777" w:rsidTr="00550F1D">
        <w:trPr>
          <w:trHeight w:val="602"/>
        </w:trPr>
        <w:tc>
          <w:tcPr>
            <w:tcW w:w="10343" w:type="dxa"/>
            <w:tcBorders>
              <w:bottom w:val="nil"/>
            </w:tcBorders>
          </w:tcPr>
          <w:p w14:paraId="58047735" w14:textId="1700363D" w:rsidR="004F721E" w:rsidRPr="00307148" w:rsidRDefault="004B12AA" w:rsidP="00307148">
            <w:pPr>
              <w:spacing w:after="120" w:line="260" w:lineRule="exact"/>
              <w:jc w:val="both"/>
              <w:rPr>
                <w:rFonts w:cs="Arial"/>
                <w:sz w:val="24"/>
                <w:szCs w:val="24"/>
                <w:u w:val="single"/>
              </w:rPr>
            </w:pPr>
            <w:r w:rsidRPr="004F721E">
              <w:rPr>
                <w:rFonts w:cs="Arial"/>
                <w:noProof/>
              </w:rPr>
              <w:drawing>
                <wp:anchor distT="0" distB="0" distL="114300" distR="114300" simplePos="0" relativeHeight="251659264" behindDoc="0" locked="0" layoutInCell="1" allowOverlap="1" wp14:anchorId="364D9831" wp14:editId="0466B801">
                  <wp:simplePos x="0" y="0"/>
                  <wp:positionH relativeFrom="column">
                    <wp:posOffset>1038225</wp:posOffset>
                  </wp:positionH>
                  <wp:positionV relativeFrom="paragraph">
                    <wp:posOffset>367334</wp:posOffset>
                  </wp:positionV>
                  <wp:extent cx="4754880" cy="329946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DOC2-Répartition_algues-corrigé.jpg"/>
                          <pic:cNvPicPr/>
                        </pic:nvPicPr>
                        <pic:blipFill>
                          <a:blip r:embed="rId6">
                            <a:extLst>
                              <a:ext uri="{28A0092B-C50C-407E-A947-70E740481C1C}">
                                <a14:useLocalDpi xmlns:a14="http://schemas.microsoft.com/office/drawing/2010/main" val="0"/>
                              </a:ext>
                            </a:extLst>
                          </a:blip>
                          <a:stretch>
                            <a:fillRect/>
                          </a:stretch>
                        </pic:blipFill>
                        <pic:spPr>
                          <a:xfrm>
                            <a:off x="0" y="0"/>
                            <a:ext cx="4754880" cy="3299460"/>
                          </a:xfrm>
                          <a:prstGeom prst="rect">
                            <a:avLst/>
                          </a:prstGeom>
                        </pic:spPr>
                      </pic:pic>
                    </a:graphicData>
                  </a:graphic>
                  <wp14:sizeRelH relativeFrom="margin">
                    <wp14:pctWidth>0</wp14:pctWidth>
                  </wp14:sizeRelH>
                  <wp14:sizeRelV relativeFrom="margin">
                    <wp14:pctHeight>0</wp14:pctHeight>
                  </wp14:sizeRelV>
                </wp:anchor>
              </w:drawing>
            </w:r>
            <w:r w:rsidR="004F721E" w:rsidRPr="00307148">
              <w:rPr>
                <w:rFonts w:cs="Arial"/>
                <w:sz w:val="24"/>
                <w:szCs w:val="24"/>
                <w:u w:val="single"/>
              </w:rPr>
              <w:t xml:space="preserve">Document 2. Répartition des différentes algues et devenir du spectre solaire dans l’eau en fonction de la profondeur. </w:t>
            </w:r>
          </w:p>
        </w:tc>
      </w:tr>
      <w:tr w:rsidR="004F721E" w:rsidRPr="004F721E" w14:paraId="189BE180" w14:textId="77777777" w:rsidTr="00550F1D">
        <w:trPr>
          <w:trHeight w:val="4816"/>
        </w:trPr>
        <w:tc>
          <w:tcPr>
            <w:tcW w:w="10343" w:type="dxa"/>
            <w:tcBorders>
              <w:top w:val="nil"/>
            </w:tcBorders>
          </w:tcPr>
          <w:p w14:paraId="695E58D8" w14:textId="77777777" w:rsidR="004F721E" w:rsidRDefault="004F721E" w:rsidP="00CC4E98">
            <w:pPr>
              <w:spacing w:line="276" w:lineRule="auto"/>
              <w:jc w:val="center"/>
              <w:rPr>
                <w:rFonts w:cs="Arial"/>
              </w:rPr>
            </w:pPr>
          </w:p>
          <w:p w14:paraId="2CF0C283" w14:textId="77777777" w:rsidR="004B12AA" w:rsidRDefault="004B12AA" w:rsidP="00CC4E98">
            <w:pPr>
              <w:spacing w:line="276" w:lineRule="auto"/>
              <w:jc w:val="center"/>
              <w:rPr>
                <w:rFonts w:cs="Arial"/>
              </w:rPr>
            </w:pPr>
          </w:p>
          <w:p w14:paraId="0972080F" w14:textId="77777777" w:rsidR="004B12AA" w:rsidRDefault="004B12AA" w:rsidP="00CC4E98">
            <w:pPr>
              <w:spacing w:line="276" w:lineRule="auto"/>
              <w:jc w:val="center"/>
              <w:rPr>
                <w:rFonts w:cs="Arial"/>
              </w:rPr>
            </w:pPr>
          </w:p>
          <w:p w14:paraId="3828DCB9" w14:textId="77777777" w:rsidR="004B12AA" w:rsidRDefault="004B12AA" w:rsidP="00CC4E98">
            <w:pPr>
              <w:spacing w:line="276" w:lineRule="auto"/>
              <w:jc w:val="center"/>
              <w:rPr>
                <w:rFonts w:cs="Arial"/>
              </w:rPr>
            </w:pPr>
          </w:p>
          <w:p w14:paraId="619DE961" w14:textId="77777777" w:rsidR="004B12AA" w:rsidRDefault="004B12AA" w:rsidP="00CC4E98">
            <w:pPr>
              <w:spacing w:line="276" w:lineRule="auto"/>
              <w:jc w:val="center"/>
              <w:rPr>
                <w:rFonts w:cs="Arial"/>
              </w:rPr>
            </w:pPr>
          </w:p>
          <w:p w14:paraId="189B5793" w14:textId="77777777" w:rsidR="004B12AA" w:rsidRDefault="004B12AA" w:rsidP="00CC4E98">
            <w:pPr>
              <w:spacing w:line="276" w:lineRule="auto"/>
              <w:jc w:val="center"/>
              <w:rPr>
                <w:rFonts w:cs="Arial"/>
              </w:rPr>
            </w:pPr>
          </w:p>
          <w:p w14:paraId="0A2CEF50" w14:textId="77777777" w:rsidR="004B12AA" w:rsidRDefault="004B12AA" w:rsidP="00CC4E98">
            <w:pPr>
              <w:spacing w:line="276" w:lineRule="auto"/>
              <w:jc w:val="center"/>
              <w:rPr>
                <w:rFonts w:cs="Arial"/>
              </w:rPr>
            </w:pPr>
          </w:p>
          <w:p w14:paraId="164D89D2" w14:textId="77777777" w:rsidR="004B12AA" w:rsidRDefault="004B12AA" w:rsidP="00CC4E98">
            <w:pPr>
              <w:spacing w:line="276" w:lineRule="auto"/>
              <w:jc w:val="center"/>
              <w:rPr>
                <w:rFonts w:cs="Arial"/>
              </w:rPr>
            </w:pPr>
          </w:p>
          <w:p w14:paraId="7F5B6F5B" w14:textId="77777777" w:rsidR="004B12AA" w:rsidRDefault="004B12AA" w:rsidP="00CC4E98">
            <w:pPr>
              <w:spacing w:line="276" w:lineRule="auto"/>
              <w:jc w:val="center"/>
              <w:rPr>
                <w:rFonts w:cs="Arial"/>
              </w:rPr>
            </w:pPr>
          </w:p>
          <w:p w14:paraId="38CFF8CB" w14:textId="77777777" w:rsidR="004B12AA" w:rsidRDefault="004B12AA" w:rsidP="00CC4E98">
            <w:pPr>
              <w:spacing w:line="276" w:lineRule="auto"/>
              <w:jc w:val="center"/>
              <w:rPr>
                <w:rFonts w:cs="Arial"/>
              </w:rPr>
            </w:pPr>
          </w:p>
          <w:p w14:paraId="140ACEB3" w14:textId="77777777" w:rsidR="004B12AA" w:rsidRDefault="004B12AA" w:rsidP="00CC4E98">
            <w:pPr>
              <w:spacing w:line="276" w:lineRule="auto"/>
              <w:jc w:val="center"/>
              <w:rPr>
                <w:rFonts w:cs="Arial"/>
              </w:rPr>
            </w:pPr>
          </w:p>
          <w:p w14:paraId="427DE9AB" w14:textId="77777777" w:rsidR="004B12AA" w:rsidRDefault="004B12AA" w:rsidP="00CC4E98">
            <w:pPr>
              <w:spacing w:line="276" w:lineRule="auto"/>
              <w:jc w:val="center"/>
              <w:rPr>
                <w:rFonts w:cs="Arial"/>
              </w:rPr>
            </w:pPr>
          </w:p>
          <w:p w14:paraId="2F4791F0" w14:textId="77777777" w:rsidR="004B12AA" w:rsidRDefault="004B12AA" w:rsidP="00CC4E98">
            <w:pPr>
              <w:spacing w:line="276" w:lineRule="auto"/>
              <w:jc w:val="center"/>
              <w:rPr>
                <w:rFonts w:cs="Arial"/>
              </w:rPr>
            </w:pPr>
          </w:p>
          <w:p w14:paraId="5BAF4B03" w14:textId="77777777" w:rsidR="004B12AA" w:rsidRDefault="004B12AA" w:rsidP="00CC4E98">
            <w:pPr>
              <w:spacing w:line="276" w:lineRule="auto"/>
              <w:jc w:val="center"/>
              <w:rPr>
                <w:rFonts w:cs="Arial"/>
              </w:rPr>
            </w:pPr>
          </w:p>
          <w:p w14:paraId="458A2CE8" w14:textId="77777777" w:rsidR="004B12AA" w:rsidRDefault="004B12AA" w:rsidP="00CC4E98">
            <w:pPr>
              <w:spacing w:line="276" w:lineRule="auto"/>
              <w:jc w:val="center"/>
              <w:rPr>
                <w:rFonts w:cs="Arial"/>
              </w:rPr>
            </w:pPr>
          </w:p>
          <w:p w14:paraId="7DC75D8D" w14:textId="77777777" w:rsidR="004B12AA" w:rsidRDefault="004B12AA" w:rsidP="00CC4E98">
            <w:pPr>
              <w:spacing w:line="276" w:lineRule="auto"/>
              <w:jc w:val="center"/>
              <w:rPr>
                <w:rFonts w:cs="Arial"/>
              </w:rPr>
            </w:pPr>
          </w:p>
          <w:p w14:paraId="58EE081F" w14:textId="77777777" w:rsidR="004B12AA" w:rsidRDefault="004B12AA" w:rsidP="00CC4E98">
            <w:pPr>
              <w:spacing w:line="276" w:lineRule="auto"/>
              <w:jc w:val="center"/>
              <w:rPr>
                <w:rFonts w:cs="Arial"/>
              </w:rPr>
            </w:pPr>
          </w:p>
          <w:p w14:paraId="144DD15D" w14:textId="77777777" w:rsidR="004B12AA" w:rsidRDefault="004B12AA" w:rsidP="00CC4E98">
            <w:pPr>
              <w:spacing w:line="276" w:lineRule="auto"/>
              <w:jc w:val="center"/>
              <w:rPr>
                <w:rFonts w:cs="Arial"/>
              </w:rPr>
            </w:pPr>
          </w:p>
          <w:p w14:paraId="3E2DAB8D" w14:textId="77777777" w:rsidR="004B12AA" w:rsidRDefault="004B12AA" w:rsidP="00CC4E98">
            <w:pPr>
              <w:spacing w:line="276" w:lineRule="auto"/>
              <w:jc w:val="center"/>
              <w:rPr>
                <w:rFonts w:cs="Arial"/>
              </w:rPr>
            </w:pPr>
          </w:p>
          <w:p w14:paraId="38225822" w14:textId="0865A312" w:rsidR="004B12AA" w:rsidRPr="004F721E" w:rsidRDefault="004B12AA" w:rsidP="00CC4E98">
            <w:pPr>
              <w:spacing w:line="276" w:lineRule="auto"/>
              <w:jc w:val="center"/>
              <w:rPr>
                <w:rFonts w:cs="Arial"/>
              </w:rPr>
            </w:pPr>
          </w:p>
        </w:tc>
      </w:tr>
    </w:tbl>
    <w:p w14:paraId="2F26BA7A" w14:textId="68318BFD" w:rsidR="004F721E" w:rsidRPr="006F3FBC" w:rsidRDefault="004F721E" w:rsidP="004F721E">
      <w:pPr>
        <w:rPr>
          <w:sz w:val="16"/>
          <w:szCs w:val="16"/>
        </w:rPr>
      </w:pPr>
    </w:p>
    <w:tbl>
      <w:tblPr>
        <w:tblStyle w:val="Grilledutableau"/>
        <w:tblW w:w="10343" w:type="dxa"/>
        <w:tblLook w:val="04A0" w:firstRow="1" w:lastRow="0" w:firstColumn="1" w:lastColumn="0" w:noHBand="0" w:noVBand="1"/>
      </w:tblPr>
      <w:tblGrid>
        <w:gridCol w:w="10343"/>
      </w:tblGrid>
      <w:tr w:rsidR="004F721E" w:rsidRPr="004F721E" w14:paraId="73FDBF09" w14:textId="77777777" w:rsidTr="00307148">
        <w:tc>
          <w:tcPr>
            <w:tcW w:w="10343" w:type="dxa"/>
            <w:tcBorders>
              <w:bottom w:val="nil"/>
            </w:tcBorders>
          </w:tcPr>
          <w:p w14:paraId="7BCC9F07" w14:textId="77777777" w:rsidR="004F721E" w:rsidRPr="004F721E" w:rsidRDefault="004F721E" w:rsidP="006E065B">
            <w:pPr>
              <w:spacing w:after="120" w:line="260" w:lineRule="exact"/>
              <w:jc w:val="both"/>
              <w:rPr>
                <w:u w:val="single"/>
              </w:rPr>
            </w:pPr>
            <w:r w:rsidRPr="004F721E">
              <w:rPr>
                <w:rFonts w:cs="Arial"/>
                <w:u w:val="single"/>
              </w:rPr>
              <w:t xml:space="preserve">Document 3. Pigments photosynthétiques des algues vertes et des algues rouges et spectres d’absorption correspondants </w:t>
            </w:r>
          </w:p>
        </w:tc>
      </w:tr>
      <w:tr w:rsidR="004F721E" w:rsidRPr="004F721E" w14:paraId="1AD6EBA0" w14:textId="77777777" w:rsidTr="00307148">
        <w:tc>
          <w:tcPr>
            <w:tcW w:w="10343" w:type="dxa"/>
            <w:tcBorders>
              <w:top w:val="nil"/>
            </w:tcBorders>
          </w:tcPr>
          <w:p w14:paraId="6896A0E5" w14:textId="1F5EC365" w:rsidR="004F721E" w:rsidRPr="004F721E" w:rsidRDefault="004F721E" w:rsidP="006F3FBC">
            <w:pPr>
              <w:jc w:val="both"/>
              <w:rPr>
                <w:rFonts w:cs="Arial"/>
              </w:rPr>
            </w:pPr>
            <w:r w:rsidRPr="004F721E">
              <w:rPr>
                <w:rFonts w:cs="Arial"/>
              </w:rPr>
              <w:t>Il existe chez les végétaux différents pigments photosynthétiques.</w:t>
            </w:r>
          </w:p>
          <w:p w14:paraId="75A76F4B" w14:textId="20BE7319" w:rsidR="004F721E" w:rsidRPr="004F721E" w:rsidRDefault="004F721E" w:rsidP="006F3FBC">
            <w:pPr>
              <w:jc w:val="both"/>
              <w:rPr>
                <w:rFonts w:cs="Arial"/>
              </w:rPr>
            </w:pPr>
            <w:r w:rsidRPr="004F721E">
              <w:rPr>
                <w:rFonts w:cs="Arial"/>
              </w:rPr>
              <w:t xml:space="preserve">- Les algues vertes possèdent dans leurs cellules de la chlorophylle </w:t>
            </w:r>
            <w:r w:rsidRPr="004F721E">
              <w:rPr>
                <w:rFonts w:cs="Arial"/>
                <w:i/>
              </w:rPr>
              <w:t>a</w:t>
            </w:r>
            <w:r w:rsidRPr="004F721E">
              <w:rPr>
                <w:rFonts w:cs="Arial"/>
              </w:rPr>
              <w:t xml:space="preserve"> et de la chlorophylle </w:t>
            </w:r>
            <w:r w:rsidRPr="004F721E">
              <w:rPr>
                <w:rFonts w:cs="Arial"/>
                <w:i/>
              </w:rPr>
              <w:t>b</w:t>
            </w:r>
            <w:r w:rsidRPr="004F721E">
              <w:rPr>
                <w:rFonts w:cs="Arial"/>
              </w:rPr>
              <w:t xml:space="preserve">. </w:t>
            </w:r>
          </w:p>
          <w:p w14:paraId="336584FC" w14:textId="5A68DF5E" w:rsidR="004F721E" w:rsidRPr="004F721E" w:rsidRDefault="004F721E" w:rsidP="006F3FBC">
            <w:pPr>
              <w:jc w:val="both"/>
              <w:rPr>
                <w:rFonts w:cs="Arial"/>
              </w:rPr>
            </w:pPr>
            <w:r w:rsidRPr="004F721E">
              <w:rPr>
                <w:rFonts w:cs="Arial"/>
              </w:rPr>
              <w:t xml:space="preserve">- Les algues rouges possèdent de la chlorophylle </w:t>
            </w:r>
            <w:r w:rsidRPr="004F721E">
              <w:rPr>
                <w:rFonts w:cs="Arial"/>
                <w:i/>
              </w:rPr>
              <w:t>a</w:t>
            </w:r>
            <w:r w:rsidRPr="004F721E">
              <w:rPr>
                <w:rFonts w:cs="Arial"/>
              </w:rPr>
              <w:t xml:space="preserve"> et beaucoup de pigments rouges appelés phycoérythrine.</w:t>
            </w:r>
          </w:p>
          <w:p w14:paraId="58AB9162" w14:textId="1B48ED0C" w:rsidR="004F721E" w:rsidRPr="004F721E" w:rsidRDefault="004F721E" w:rsidP="006F3FBC">
            <w:pPr>
              <w:jc w:val="both"/>
              <w:rPr>
                <w:rFonts w:cs="Arial"/>
              </w:rPr>
            </w:pPr>
            <w:r w:rsidRPr="004F721E">
              <w:rPr>
                <w:rFonts w:cs="Arial"/>
              </w:rPr>
              <w:t>Le graphique suivant présente les spectres d’absorption des différents pigments photosynthétiques, à savoir le pourcentage de lumière absorbée en fonction de la longueur d’onde.</w:t>
            </w:r>
          </w:p>
          <w:p w14:paraId="5BD6BF66" w14:textId="57BA958A" w:rsidR="004F721E" w:rsidRPr="004F721E" w:rsidRDefault="006F3FBC" w:rsidP="006F3FBC">
            <w:pPr>
              <w:rPr>
                <w:rFonts w:cs="Arial"/>
                <w:noProof/>
              </w:rPr>
            </w:pPr>
            <w:r w:rsidRPr="004F721E">
              <w:rPr>
                <w:rFonts w:cs="Arial"/>
                <w:noProof/>
              </w:rPr>
              <w:drawing>
                <wp:anchor distT="0" distB="0" distL="114300" distR="114300" simplePos="0" relativeHeight="251658240" behindDoc="0" locked="0" layoutInCell="1" allowOverlap="1" wp14:anchorId="433F282B" wp14:editId="3FFCCAD8">
                  <wp:simplePos x="0" y="0"/>
                  <wp:positionH relativeFrom="column">
                    <wp:posOffset>830304</wp:posOffset>
                  </wp:positionH>
                  <wp:positionV relativeFrom="paragraph">
                    <wp:posOffset>30149</wp:posOffset>
                  </wp:positionV>
                  <wp:extent cx="4730142" cy="3001394"/>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r="4073" b="12307"/>
                          <a:stretch/>
                        </pic:blipFill>
                        <pic:spPr bwMode="auto">
                          <a:xfrm>
                            <a:off x="0" y="0"/>
                            <a:ext cx="4730142" cy="3001394"/>
                          </a:xfrm>
                          <a:prstGeom prst="rect">
                            <a:avLst/>
                          </a:prstGeom>
                          <a:noFill/>
                          <a:ln>
                            <a:noFill/>
                          </a:ln>
                          <a:extLst>
                            <a:ext uri="{53640926-AAD7-44D8-BBD7-CCE9431645EC}">
                              <a14:shadowObscured xmlns:a14="http://schemas.microsoft.com/office/drawing/2010/main"/>
                            </a:ext>
                          </a:extLst>
                        </pic:spPr>
                      </pic:pic>
                    </a:graphicData>
                  </a:graphic>
                </wp:anchor>
              </w:drawing>
            </w:r>
          </w:p>
          <w:p w14:paraId="58799B52" w14:textId="4710ED87" w:rsidR="004F721E" w:rsidRPr="004F721E" w:rsidRDefault="004F721E" w:rsidP="006F3FBC">
            <w:pPr>
              <w:rPr>
                <w:rFonts w:cs="Arial"/>
                <w:noProof/>
              </w:rPr>
            </w:pPr>
          </w:p>
          <w:p w14:paraId="4C488EE0" w14:textId="347C7695" w:rsidR="004F721E" w:rsidRPr="004F721E" w:rsidRDefault="004F721E" w:rsidP="006F3FBC">
            <w:pPr>
              <w:rPr>
                <w:rFonts w:cs="Arial"/>
                <w:noProof/>
              </w:rPr>
            </w:pPr>
          </w:p>
          <w:p w14:paraId="169E0B68" w14:textId="73C1122F" w:rsidR="004F721E" w:rsidRPr="004F721E" w:rsidRDefault="004F721E" w:rsidP="006F3FBC">
            <w:pPr>
              <w:rPr>
                <w:rFonts w:cs="Arial"/>
                <w:noProof/>
              </w:rPr>
            </w:pPr>
          </w:p>
          <w:p w14:paraId="48285B10" w14:textId="6457A945" w:rsidR="004F721E" w:rsidRPr="004F721E" w:rsidRDefault="004F721E" w:rsidP="006F3FBC">
            <w:pPr>
              <w:rPr>
                <w:rFonts w:cs="Arial"/>
                <w:noProof/>
              </w:rPr>
            </w:pPr>
          </w:p>
          <w:p w14:paraId="4F3A5D30" w14:textId="4187B408" w:rsidR="004F721E" w:rsidRPr="004F721E" w:rsidRDefault="004F721E" w:rsidP="006F3FBC">
            <w:pPr>
              <w:rPr>
                <w:rFonts w:cs="Arial"/>
                <w:noProof/>
              </w:rPr>
            </w:pPr>
          </w:p>
          <w:p w14:paraId="0D15D541" w14:textId="138F9A73" w:rsidR="004F721E" w:rsidRDefault="004F721E" w:rsidP="006F3FBC">
            <w:pPr>
              <w:rPr>
                <w:rFonts w:cs="Arial"/>
                <w:noProof/>
              </w:rPr>
            </w:pPr>
          </w:p>
          <w:p w14:paraId="479ADB74" w14:textId="791B1B08" w:rsidR="006E065B" w:rsidRDefault="006E065B" w:rsidP="006F3FBC">
            <w:pPr>
              <w:rPr>
                <w:rFonts w:cs="Arial"/>
                <w:noProof/>
              </w:rPr>
            </w:pPr>
          </w:p>
          <w:p w14:paraId="1FE907CE" w14:textId="5605B503" w:rsidR="004B12AA" w:rsidRDefault="004B12AA" w:rsidP="006F3FBC">
            <w:pPr>
              <w:rPr>
                <w:rFonts w:cs="Arial"/>
                <w:noProof/>
              </w:rPr>
            </w:pPr>
          </w:p>
          <w:p w14:paraId="33FE0D08" w14:textId="3446B6B0" w:rsidR="006F3FBC" w:rsidRDefault="006F3FBC" w:rsidP="006F3FBC">
            <w:pPr>
              <w:rPr>
                <w:rFonts w:cs="Arial"/>
                <w:noProof/>
              </w:rPr>
            </w:pPr>
          </w:p>
          <w:p w14:paraId="17DB3C0E" w14:textId="509BAED1" w:rsidR="006F3FBC" w:rsidRDefault="006F3FBC" w:rsidP="006F3FBC">
            <w:pPr>
              <w:rPr>
                <w:rFonts w:cs="Arial"/>
                <w:noProof/>
              </w:rPr>
            </w:pPr>
          </w:p>
          <w:p w14:paraId="7F8E5792" w14:textId="12C27F77" w:rsidR="006F3FBC" w:rsidRDefault="006F3FBC" w:rsidP="006F3FBC">
            <w:pPr>
              <w:rPr>
                <w:rFonts w:cs="Arial"/>
                <w:noProof/>
              </w:rPr>
            </w:pPr>
          </w:p>
          <w:p w14:paraId="4AA0C2C9" w14:textId="145D6899" w:rsidR="006F3FBC" w:rsidRDefault="006F3FBC" w:rsidP="006F3FBC">
            <w:pPr>
              <w:rPr>
                <w:rFonts w:cs="Arial"/>
                <w:noProof/>
              </w:rPr>
            </w:pPr>
          </w:p>
          <w:p w14:paraId="5E82654F" w14:textId="4B757C96" w:rsidR="006F3FBC" w:rsidRDefault="006F3FBC" w:rsidP="006F3FBC">
            <w:pPr>
              <w:rPr>
                <w:rFonts w:cs="Arial"/>
                <w:noProof/>
              </w:rPr>
            </w:pPr>
          </w:p>
          <w:p w14:paraId="75396E1D" w14:textId="374256C1" w:rsidR="006F3FBC" w:rsidRDefault="006F3FBC" w:rsidP="006F3FBC">
            <w:pPr>
              <w:rPr>
                <w:rFonts w:cs="Arial"/>
                <w:noProof/>
              </w:rPr>
            </w:pPr>
          </w:p>
          <w:p w14:paraId="07070CA6" w14:textId="77777777" w:rsidR="006F3FBC" w:rsidRDefault="006F3FBC" w:rsidP="006F3FBC">
            <w:pPr>
              <w:rPr>
                <w:rFonts w:cs="Arial"/>
                <w:noProof/>
              </w:rPr>
            </w:pPr>
          </w:p>
          <w:p w14:paraId="4624306B" w14:textId="45083F28" w:rsidR="004B12AA" w:rsidRDefault="004B12AA" w:rsidP="006F3FBC">
            <w:pPr>
              <w:rPr>
                <w:rFonts w:cs="Arial"/>
                <w:noProof/>
              </w:rPr>
            </w:pPr>
          </w:p>
          <w:p w14:paraId="686BB9F2" w14:textId="77777777" w:rsidR="006F3FBC" w:rsidRDefault="006F3FBC" w:rsidP="006F3FBC">
            <w:pPr>
              <w:rPr>
                <w:rFonts w:cs="Arial"/>
                <w:noProof/>
              </w:rPr>
            </w:pPr>
          </w:p>
          <w:p w14:paraId="19A2D7C9" w14:textId="57F7BEBE" w:rsidR="004F721E" w:rsidRPr="004F721E" w:rsidRDefault="004F721E" w:rsidP="00CC4E98">
            <w:pPr>
              <w:spacing w:after="120" w:line="260" w:lineRule="exact"/>
              <w:jc w:val="center"/>
              <w:rPr>
                <w:rFonts w:cs="Arial"/>
                <w:noProof/>
              </w:rPr>
            </w:pPr>
          </w:p>
          <w:p w14:paraId="173D0434" w14:textId="5FFE9789" w:rsidR="004F721E" w:rsidRPr="004F721E" w:rsidRDefault="004F721E" w:rsidP="006F3FBC">
            <w:pPr>
              <w:spacing w:after="120" w:line="260" w:lineRule="exact"/>
              <w:rPr>
                <w:rFonts w:cs="Arial"/>
              </w:rPr>
            </w:pPr>
          </w:p>
        </w:tc>
      </w:tr>
    </w:tbl>
    <w:p w14:paraId="49423F70" w14:textId="77777777" w:rsidR="004F721E" w:rsidRPr="00874789" w:rsidRDefault="004F721E" w:rsidP="004061CB">
      <w:pPr>
        <w:rPr>
          <w:rFonts w:cs="Arial"/>
          <w:sz w:val="16"/>
          <w:szCs w:val="16"/>
        </w:rPr>
      </w:pPr>
    </w:p>
    <w:sectPr w:rsidR="004F721E" w:rsidRPr="00874789"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embedRegular r:id="rId1" w:subsetted="1" w:fontKey="{712CCA33-DB46-4A66-A00F-4335E35933C9}"/>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02D53"/>
    <w:rsid w:val="00127733"/>
    <w:rsid w:val="0021216B"/>
    <w:rsid w:val="00290B46"/>
    <w:rsid w:val="0030164E"/>
    <w:rsid w:val="00307148"/>
    <w:rsid w:val="00336093"/>
    <w:rsid w:val="003B05DB"/>
    <w:rsid w:val="004061CB"/>
    <w:rsid w:val="004468F1"/>
    <w:rsid w:val="0045319B"/>
    <w:rsid w:val="004B12AA"/>
    <w:rsid w:val="004F721E"/>
    <w:rsid w:val="005377FE"/>
    <w:rsid w:val="00550F1D"/>
    <w:rsid w:val="00577639"/>
    <w:rsid w:val="0059619F"/>
    <w:rsid w:val="006A36CD"/>
    <w:rsid w:val="006E065B"/>
    <w:rsid w:val="006F3FBC"/>
    <w:rsid w:val="00874167"/>
    <w:rsid w:val="00874789"/>
    <w:rsid w:val="00902983"/>
    <w:rsid w:val="00985BBF"/>
    <w:rsid w:val="00986F51"/>
    <w:rsid w:val="00B21A0F"/>
    <w:rsid w:val="00B507E8"/>
    <w:rsid w:val="00C56FAE"/>
    <w:rsid w:val="00C96450"/>
    <w:rsid w:val="00CA0DF4"/>
    <w:rsid w:val="00CC0EF0"/>
    <w:rsid w:val="00D461E7"/>
    <w:rsid w:val="00EA5A16"/>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3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paragraph" w:customStyle="1" w:styleId="Contenudetableau">
    <w:name w:val="Contenu de tableau"/>
    <w:basedOn w:val="Normal"/>
    <w:qFormat/>
    <w:rsid w:val="004F721E"/>
    <w:pPr>
      <w:suppressLineNumbers/>
    </w:pPr>
    <w:rPr>
      <w:rFonts w:ascii="Trebuchet MS" w:eastAsia="SimSun" w:hAnsi="Trebuchet MS" w:cs="Lucida Sans"/>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labolycee.org" TargetMode="Externa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9</cp:revision>
  <dcterms:created xsi:type="dcterms:W3CDTF">2020-06-08T20:15:00Z</dcterms:created>
  <dcterms:modified xsi:type="dcterms:W3CDTF">2020-06-08T20:26:00Z</dcterms:modified>
</cp:coreProperties>
</file>